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5" w:rsidRDefault="002270C5" w:rsidP="009E1ECB">
      <w:pPr>
        <w:rPr>
          <w:b/>
          <w:sz w:val="22"/>
        </w:rPr>
      </w:pPr>
      <w:bookmarkStart w:id="0" w:name="_Toc124834692"/>
      <w:bookmarkStart w:id="1" w:name="_Toc124834730"/>
      <w:bookmarkStart w:id="2" w:name="_Toc129748019"/>
      <w:bookmarkStart w:id="3" w:name="_Toc129748039"/>
      <w:bookmarkStart w:id="4" w:name="_Toc139275494"/>
      <w:bookmarkStart w:id="5" w:name="_Toc206230956"/>
      <w:bookmarkStart w:id="6" w:name="_Toc267345129"/>
      <w:bookmarkStart w:id="7" w:name="_Toc267346823"/>
      <w:bookmarkStart w:id="8" w:name="_Toc328053370"/>
    </w:p>
    <w:p w:rsidR="002270C5" w:rsidRDefault="002270C5" w:rsidP="009E1ECB">
      <w:pPr>
        <w:rPr>
          <w:b/>
          <w:sz w:val="22"/>
        </w:rPr>
      </w:pPr>
    </w:p>
    <w:p w:rsidR="002270C5" w:rsidRDefault="002270C5" w:rsidP="009E1ECB">
      <w:pPr>
        <w:rPr>
          <w:b/>
          <w:sz w:val="22"/>
        </w:rPr>
      </w:pPr>
    </w:p>
    <w:p w:rsidR="009E1ECB" w:rsidRDefault="006F7198" w:rsidP="009E1ECB">
      <w:pPr>
        <w:rPr>
          <w:b/>
          <w:sz w:val="22"/>
        </w:rPr>
      </w:pPr>
      <w:r w:rsidRPr="006F7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4.5pt;width:418.05pt;height:48.35pt;z-index:251657216">
            <v:textbox style="mso-next-textbox:#_x0000_s1028">
              <w:txbxContent>
                <w:p w:rsidR="0047775E" w:rsidRPr="00D120DC" w:rsidRDefault="0047775E" w:rsidP="00D120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Piccolo Xpress Chemistry Analyser Operation</w:t>
                  </w:r>
                </w:p>
              </w:txbxContent>
            </v:textbox>
            <w10:wrap type="square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6F7198" w:rsidP="009E1ECB">
      <w:pPr>
        <w:rPr>
          <w:b/>
          <w:sz w:val="22"/>
        </w:rPr>
      </w:pPr>
      <w:bookmarkStart w:id="9" w:name="_Toc124834693"/>
      <w:bookmarkStart w:id="10" w:name="_Toc124834731"/>
      <w:bookmarkStart w:id="11" w:name="_Toc129748020"/>
      <w:bookmarkStart w:id="12" w:name="_Toc129748040"/>
      <w:bookmarkStart w:id="13" w:name="_Toc139275495"/>
      <w:bookmarkStart w:id="14" w:name="_Toc206230957"/>
      <w:bookmarkStart w:id="15" w:name="_Toc267345130"/>
      <w:bookmarkStart w:id="16" w:name="_Toc267346824"/>
      <w:bookmarkStart w:id="17" w:name="_Toc328053371"/>
      <w:r w:rsidRPr="006F7198">
        <w:rPr>
          <w:noProof/>
        </w:rPr>
        <w:pict>
          <v:shape id="_x0000_s1029" type="#_x0000_t202" style="position:absolute;margin-left:0;margin-top:15.4pt;width:427.05pt;height:86.65pt;z-index:251658240">
            <v:textbox style="mso-next-textbox:#_x0000_s1029">
              <w:txbxContent>
                <w:p w:rsidR="0047775E" w:rsidRDefault="0047775E" w:rsidP="009E1ECB">
                  <w:pPr>
                    <w:pStyle w:val="Heading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The Piccolo Xpress chemistry analyser provides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quantatative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determinations of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Alanine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aminotransferase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(ALT), Albumin, Alkaline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phosphatase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(ALP), Amylase,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Aspartate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aminotransferase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(AST), C-reactive protein (CRP),Calcium,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Creatinine,Gamma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glutamyltransferase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(GGT), glucose, total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protein,urea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urric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acid in lithium heparin whole blood or serum</w:t>
                  </w:r>
                </w:p>
                <w:p w:rsidR="0047775E" w:rsidRDefault="0047775E" w:rsidP="009E1ECB"/>
              </w:txbxContent>
            </v:textbox>
            <w10:wrap type="square"/>
          </v:shape>
        </w:pic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929AA" w:rsidRDefault="00B929AA" w:rsidP="009E1ECB">
      <w:pPr>
        <w:rPr>
          <w:b/>
          <w:sz w:val="22"/>
        </w:rPr>
      </w:pPr>
    </w:p>
    <w:p w:rsidR="00B929AA" w:rsidRDefault="00B929AA" w:rsidP="009E1ECB">
      <w:pPr>
        <w:rPr>
          <w:b/>
          <w:sz w:val="22"/>
        </w:rPr>
      </w:pPr>
    </w:p>
    <w:p w:rsidR="00B929AA" w:rsidRDefault="00B929AA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2378E5" w:rsidRDefault="002378E5" w:rsidP="009E1ECB">
      <w:pPr>
        <w:rPr>
          <w:b/>
          <w:sz w:val="22"/>
        </w:rPr>
      </w:pPr>
    </w:p>
    <w:p w:rsidR="00B929AA" w:rsidRDefault="00B929AA" w:rsidP="009E1ECB">
      <w:pPr>
        <w:rPr>
          <w:b/>
          <w:sz w:val="22"/>
        </w:rPr>
      </w:pPr>
    </w:p>
    <w:p w:rsidR="00B929AA" w:rsidRDefault="00B929AA" w:rsidP="009E1ECB">
      <w:pPr>
        <w:rPr>
          <w:b/>
          <w:sz w:val="22"/>
        </w:rPr>
      </w:pPr>
    </w:p>
    <w:p w:rsidR="00B929AA" w:rsidRDefault="00B929AA" w:rsidP="009E1ECB">
      <w:pPr>
        <w:rPr>
          <w:b/>
          <w:sz w:val="22"/>
        </w:rPr>
      </w:pPr>
    </w:p>
    <w:p w:rsidR="009E1ECB" w:rsidRDefault="009E1ECB" w:rsidP="009E1ECB">
      <w:pPr>
        <w:jc w:val="center"/>
        <w:rPr>
          <w:b/>
          <w:sz w:val="22"/>
        </w:rPr>
      </w:pPr>
    </w:p>
    <w:p w:rsidR="00765AA6" w:rsidRPr="00415F6F" w:rsidRDefault="00765AA6" w:rsidP="00415F6F">
      <w:pPr>
        <w:pStyle w:val="Heading1"/>
        <w:numPr>
          <w:ilvl w:val="0"/>
          <w:numId w:val="32"/>
        </w:numPr>
        <w:rPr>
          <w:bCs/>
          <w:caps/>
        </w:rPr>
      </w:pPr>
      <w:bookmarkStart w:id="18" w:name="_Toc481678974"/>
      <w:r w:rsidRPr="00415F6F">
        <w:rPr>
          <w:bCs/>
          <w:caps/>
        </w:rPr>
        <w:t>Table of Contents</w:t>
      </w:r>
      <w:bookmarkEnd w:id="18"/>
    </w:p>
    <w:p w:rsidR="001C1E54" w:rsidRDefault="001C1E54" w:rsidP="001C1E54"/>
    <w:p w:rsidR="0070495C" w:rsidRDefault="006F7198">
      <w:pPr>
        <w:pStyle w:val="TOC1"/>
        <w:tabs>
          <w:tab w:val="left" w:pos="7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415F6F">
        <w:instrText xml:space="preserve"> TOC \o "1-1" \h \z \t "Heading 2,2" </w:instrText>
      </w:r>
      <w:r>
        <w:fldChar w:fldCharType="separate"/>
      </w:r>
      <w:hyperlink w:anchor="_Toc481678974" w:history="1">
        <w:r w:rsidR="0070495C" w:rsidRPr="00954C3A">
          <w:rPr>
            <w:rStyle w:val="Hyperlink"/>
            <w:bCs/>
            <w:caps/>
            <w:noProof/>
          </w:rPr>
          <w:t>1.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bCs/>
            <w:caps/>
            <w:noProof/>
          </w:rPr>
          <w:t>Table of Contents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left" w:pos="7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75" w:history="1">
        <w:r w:rsidR="0070495C" w:rsidRPr="00954C3A">
          <w:rPr>
            <w:rStyle w:val="Hyperlink"/>
            <w:bCs/>
            <w:caps/>
            <w:noProof/>
          </w:rPr>
          <w:t>2.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bCs/>
            <w:caps/>
            <w:noProof/>
          </w:rPr>
          <w:t>Hazards and Precautions.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2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76" w:history="1">
        <w:r w:rsidR="0070495C" w:rsidRPr="00954C3A">
          <w:rPr>
            <w:rStyle w:val="Hyperlink"/>
            <w:noProof/>
          </w:rPr>
          <w:t>2.1.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noProof/>
          </w:rPr>
          <w:t>Procedure Risk Assessment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2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77" w:history="1">
        <w:r w:rsidR="0070495C" w:rsidRPr="00954C3A">
          <w:rPr>
            <w:rStyle w:val="Hyperlink"/>
            <w:noProof/>
          </w:rPr>
          <w:t>2.2.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noProof/>
          </w:rPr>
          <w:t>Chemical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2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78" w:history="1">
        <w:r w:rsidR="0070495C" w:rsidRPr="00954C3A">
          <w:rPr>
            <w:rStyle w:val="Hyperlink"/>
            <w:noProof/>
          </w:rPr>
          <w:t>2.3.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noProof/>
          </w:rPr>
          <w:t>Biological Hazard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2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79" w:history="1">
        <w:r w:rsidR="0070495C" w:rsidRPr="00954C3A">
          <w:rPr>
            <w:rStyle w:val="Hyperlink"/>
            <w:noProof/>
          </w:rPr>
          <w:t>2.4.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noProof/>
          </w:rPr>
          <w:t>Physical Hazard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2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0" w:history="1">
        <w:r w:rsidR="0070495C" w:rsidRPr="00954C3A">
          <w:rPr>
            <w:rStyle w:val="Hyperlink"/>
            <w:noProof/>
          </w:rPr>
          <w:t>2.5.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noProof/>
          </w:rPr>
          <w:t>Room Risk Assessment (if required)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left" w:pos="7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1" w:history="1">
        <w:r w:rsidR="0070495C" w:rsidRPr="00954C3A">
          <w:rPr>
            <w:rStyle w:val="Hyperlink"/>
            <w:bCs/>
            <w:caps/>
            <w:noProof/>
          </w:rPr>
          <w:t>3.</w:t>
        </w:r>
        <w:r w:rsidR="007049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0495C" w:rsidRPr="00954C3A">
          <w:rPr>
            <w:rStyle w:val="Hyperlink"/>
            <w:bCs/>
            <w:caps/>
            <w:noProof/>
          </w:rPr>
          <w:t>CONTENT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2" w:history="1">
        <w:r w:rsidR="0070495C" w:rsidRPr="00954C3A">
          <w:rPr>
            <w:rStyle w:val="Hyperlink"/>
            <w:bCs/>
            <w:caps/>
            <w:noProof/>
          </w:rPr>
          <w:t>a) Purpose of the examination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3" w:history="1">
        <w:r w:rsidR="0070495C" w:rsidRPr="00954C3A">
          <w:rPr>
            <w:rStyle w:val="Hyperlink"/>
            <w:bCs/>
            <w:caps/>
            <w:noProof/>
          </w:rPr>
          <w:t>b) Principle and method of the procedure used for examinations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4" w:history="1">
        <w:r w:rsidR="0070495C" w:rsidRPr="00954C3A">
          <w:rPr>
            <w:rStyle w:val="Hyperlink"/>
            <w:bCs/>
            <w:caps/>
            <w:noProof/>
          </w:rPr>
          <w:t>c) Performance characteristics (see 5.5.1.2 and 5.5.1.3)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5" w:history="1">
        <w:r w:rsidR="0070495C" w:rsidRPr="00954C3A">
          <w:rPr>
            <w:rStyle w:val="Hyperlink"/>
            <w:bCs/>
            <w:caps/>
            <w:noProof/>
          </w:rPr>
          <w:t>d) Type of sample (e.g. plasma, serum, urine)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6" w:history="1">
        <w:r w:rsidR="0070495C" w:rsidRPr="00954C3A">
          <w:rPr>
            <w:rStyle w:val="Hyperlink"/>
            <w:bCs/>
            <w:caps/>
            <w:noProof/>
          </w:rPr>
          <w:t>e) Patient preparation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7" w:history="1">
        <w:r w:rsidR="0070495C" w:rsidRPr="00954C3A">
          <w:rPr>
            <w:rStyle w:val="Hyperlink"/>
            <w:bCs/>
            <w:caps/>
            <w:noProof/>
          </w:rPr>
          <w:t>f) Type of container and additives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8" w:history="1">
        <w:r w:rsidR="0070495C" w:rsidRPr="00954C3A">
          <w:rPr>
            <w:rStyle w:val="Hyperlink"/>
            <w:bCs/>
            <w:caps/>
            <w:noProof/>
          </w:rPr>
          <w:t>g) Required equipment and reagents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89" w:history="1">
        <w:r w:rsidR="0070495C" w:rsidRPr="00954C3A">
          <w:rPr>
            <w:rStyle w:val="Hyperlink"/>
            <w:bCs/>
            <w:caps/>
            <w:noProof/>
          </w:rPr>
          <w:t>h) Environmental and safety controls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0" w:history="1">
        <w:r w:rsidR="0070495C" w:rsidRPr="00954C3A">
          <w:rPr>
            <w:rStyle w:val="Hyperlink"/>
            <w:bCs/>
            <w:caps/>
            <w:noProof/>
          </w:rPr>
          <w:t>i) Calibration procedures (metrological traceability)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1" w:history="1">
        <w:r w:rsidR="0070495C" w:rsidRPr="00954C3A">
          <w:rPr>
            <w:rStyle w:val="Hyperlink"/>
            <w:bCs/>
            <w:caps/>
            <w:noProof/>
          </w:rPr>
          <w:t>j) Procedural steps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2" w:history="1">
        <w:r w:rsidR="0070495C" w:rsidRPr="00954C3A">
          <w:rPr>
            <w:rStyle w:val="Hyperlink"/>
            <w:bCs/>
            <w:caps/>
            <w:noProof/>
          </w:rPr>
          <w:t>k) Quality control procedures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3" w:history="1">
        <w:r w:rsidR="0070495C" w:rsidRPr="00954C3A">
          <w:rPr>
            <w:rStyle w:val="Hyperlink"/>
            <w:bCs/>
            <w:caps/>
            <w:noProof/>
          </w:rPr>
          <w:t>l) Interferences (e.g. lipaemia, haemolysis, bilirubinemia, drugs) and cross reactions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4" w:history="1">
        <w:r w:rsidR="0070495C" w:rsidRPr="00954C3A">
          <w:rPr>
            <w:rStyle w:val="Hyperlink"/>
            <w:bCs/>
            <w:caps/>
            <w:noProof/>
          </w:rPr>
          <w:t>m) Principle of procedure for calculating results including, where relevant, the measurement uncertainty of measured quantity values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5" w:history="1">
        <w:r w:rsidR="0070495C" w:rsidRPr="00954C3A">
          <w:rPr>
            <w:rStyle w:val="Hyperlink"/>
            <w:bCs/>
            <w:caps/>
            <w:noProof/>
          </w:rPr>
          <w:t>n) Biological reference intervals or clinical decision values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6" w:history="1">
        <w:r w:rsidR="0070495C" w:rsidRPr="00954C3A">
          <w:rPr>
            <w:rStyle w:val="Hyperlink"/>
            <w:bCs/>
            <w:caps/>
            <w:noProof/>
          </w:rPr>
          <w:t>o) Reportable interval of examination results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7" w:history="1">
        <w:r w:rsidR="0070495C" w:rsidRPr="00954C3A">
          <w:rPr>
            <w:rStyle w:val="Hyperlink"/>
            <w:bCs/>
            <w:caps/>
            <w:noProof/>
          </w:rPr>
          <w:t>p) Instructions for determining quantitative results when a result is not within the measurement interval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8" w:history="1">
        <w:r w:rsidR="0070495C" w:rsidRPr="00954C3A">
          <w:rPr>
            <w:rStyle w:val="Hyperlink"/>
            <w:bCs/>
            <w:caps/>
            <w:noProof/>
          </w:rPr>
          <w:t>q)  Alert/Critical values, where appropriate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8999" w:history="1">
        <w:r w:rsidR="0070495C" w:rsidRPr="00954C3A">
          <w:rPr>
            <w:rStyle w:val="Hyperlink"/>
            <w:bCs/>
            <w:caps/>
            <w:noProof/>
          </w:rPr>
          <w:t>r) Laboratory clinical interpretation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9000" w:history="1">
        <w:r w:rsidR="0070495C" w:rsidRPr="00954C3A">
          <w:rPr>
            <w:rStyle w:val="Hyperlink"/>
            <w:bCs/>
            <w:caps/>
            <w:noProof/>
          </w:rPr>
          <w:t>s) Potential sources of variation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95C" w:rsidRDefault="006F719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1679001" w:history="1">
        <w:r w:rsidR="0070495C" w:rsidRPr="00954C3A">
          <w:rPr>
            <w:rStyle w:val="Hyperlink"/>
            <w:bCs/>
            <w:caps/>
            <w:noProof/>
          </w:rPr>
          <w:t>t) references</w:t>
        </w:r>
        <w:r w:rsidR="00704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495C">
          <w:rPr>
            <w:noProof/>
            <w:webHidden/>
          </w:rPr>
          <w:instrText xml:space="preserve"> PAGEREF _Toc481679001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9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1E54" w:rsidRPr="001C1E54" w:rsidRDefault="006F7198" w:rsidP="001C1E54">
      <w:r>
        <w:rPr>
          <w:rFonts w:ascii="Arial" w:hAnsi="Arial"/>
          <w:sz w:val="22"/>
        </w:rPr>
        <w:fldChar w:fldCharType="end"/>
      </w: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E020A3" w:rsidRPr="00BA4D9B" w:rsidRDefault="00E020A3" w:rsidP="00E020A3">
      <w:pPr>
        <w:rPr>
          <w:rFonts w:ascii="Arial" w:hAnsi="Arial" w:cs="Arial"/>
        </w:rPr>
      </w:pPr>
    </w:p>
    <w:p w:rsidR="00697F37" w:rsidRPr="00BA4D9B" w:rsidRDefault="00992CC5" w:rsidP="00E020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55D2" w:rsidRPr="00415F6F" w:rsidRDefault="00765AA6" w:rsidP="00415F6F">
      <w:pPr>
        <w:pStyle w:val="Heading1"/>
        <w:numPr>
          <w:ilvl w:val="0"/>
          <w:numId w:val="32"/>
        </w:numPr>
        <w:rPr>
          <w:bCs/>
          <w:caps/>
        </w:rPr>
      </w:pPr>
      <w:bookmarkStart w:id="19" w:name="_Toc481678975"/>
      <w:proofErr w:type="gramStart"/>
      <w:r w:rsidRPr="00415F6F">
        <w:rPr>
          <w:bCs/>
          <w:caps/>
        </w:rPr>
        <w:lastRenderedPageBreak/>
        <w:t>Hazards and Precautions.</w:t>
      </w:r>
      <w:bookmarkEnd w:id="19"/>
      <w:proofErr w:type="gramEnd"/>
    </w:p>
    <w:p w:rsidR="008655D2" w:rsidRPr="00415F6F" w:rsidRDefault="008655D2" w:rsidP="00415F6F">
      <w:pPr>
        <w:pStyle w:val="Heading1"/>
        <w:rPr>
          <w:bCs/>
          <w:caps/>
        </w:rPr>
      </w:pPr>
    </w:p>
    <w:p w:rsidR="00A36BDE" w:rsidRDefault="00A36BDE" w:rsidP="00591F5B">
      <w:pPr>
        <w:pStyle w:val="Heading2"/>
        <w:numPr>
          <w:ilvl w:val="1"/>
          <w:numId w:val="32"/>
        </w:numPr>
        <w:rPr>
          <w:i w:val="0"/>
          <w:sz w:val="22"/>
          <w:szCs w:val="22"/>
        </w:rPr>
      </w:pPr>
      <w:bookmarkStart w:id="20" w:name="_Toc481678976"/>
      <w:r>
        <w:rPr>
          <w:i w:val="0"/>
          <w:sz w:val="22"/>
          <w:szCs w:val="22"/>
        </w:rPr>
        <w:t>Procedure Risk Assessment</w:t>
      </w:r>
      <w:bookmarkEnd w:id="20"/>
    </w:p>
    <w:p w:rsidR="00A36BDE" w:rsidRDefault="00A36BDE" w:rsidP="00A36BDE"/>
    <w:tbl>
      <w:tblPr>
        <w:tblStyle w:val="TableGrid"/>
        <w:tblW w:w="10582" w:type="dxa"/>
        <w:tblInd w:w="-1100" w:type="dxa"/>
        <w:tblLook w:val="04A0"/>
      </w:tblPr>
      <w:tblGrid>
        <w:gridCol w:w="2116"/>
        <w:gridCol w:w="2116"/>
        <w:gridCol w:w="2116"/>
        <w:gridCol w:w="2117"/>
        <w:gridCol w:w="2117"/>
      </w:tblGrid>
      <w:tr w:rsidR="00A36BDE" w:rsidRPr="00A36BDE" w:rsidTr="00817825">
        <w:trPr>
          <w:trHeight w:val="674"/>
        </w:trPr>
        <w:tc>
          <w:tcPr>
            <w:tcW w:w="2116" w:type="dxa"/>
          </w:tcPr>
          <w:p w:rsidR="00A36BDE" w:rsidRPr="00A36BDE" w:rsidRDefault="00A36BDE" w:rsidP="00A36BD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A36BDE" w:rsidRPr="00A36BDE" w:rsidRDefault="00A36BDE" w:rsidP="00A36BDE">
            <w:pPr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116" w:type="dxa"/>
          </w:tcPr>
          <w:p w:rsidR="00A36BDE" w:rsidRPr="00A36BDE" w:rsidRDefault="00A36BDE" w:rsidP="00A36BDE">
            <w:pPr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2117" w:type="dxa"/>
          </w:tcPr>
          <w:p w:rsidR="00A36BDE" w:rsidRPr="00A36BDE" w:rsidRDefault="00A36BDE" w:rsidP="00A36BDE">
            <w:pPr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>Assessment of Risk</w:t>
            </w:r>
          </w:p>
        </w:tc>
        <w:tc>
          <w:tcPr>
            <w:tcW w:w="2117" w:type="dxa"/>
            <w:tcBorders>
              <w:bottom w:val="single" w:sz="4" w:space="0" w:color="000000" w:themeColor="text1"/>
            </w:tcBorders>
          </w:tcPr>
          <w:p w:rsidR="00A36BDE" w:rsidRPr="00A36BDE" w:rsidRDefault="00A36BDE" w:rsidP="005D16B4">
            <w:pPr>
              <w:jc w:val="center"/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>Overall Procedural Risk</w:t>
            </w:r>
          </w:p>
        </w:tc>
      </w:tr>
      <w:tr w:rsidR="00DA2EB4" w:rsidRPr="00A36BDE" w:rsidTr="00817825">
        <w:trPr>
          <w:trHeight w:val="337"/>
        </w:trPr>
        <w:tc>
          <w:tcPr>
            <w:tcW w:w="2116" w:type="dxa"/>
          </w:tcPr>
          <w:p w:rsidR="00DA2EB4" w:rsidRPr="00A36BDE" w:rsidRDefault="00DA2EB4" w:rsidP="00A36BDE">
            <w:pPr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Minor injury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Possible</w:t>
            </w:r>
          </w:p>
        </w:tc>
        <w:tc>
          <w:tcPr>
            <w:tcW w:w="2117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Medium</w:t>
            </w:r>
          </w:p>
        </w:tc>
        <w:tc>
          <w:tcPr>
            <w:tcW w:w="2117" w:type="dxa"/>
            <w:vMerge w:val="restart"/>
            <w:shd w:val="clear" w:color="auto" w:fill="FFFF00"/>
            <w:vAlign w:val="center"/>
          </w:tcPr>
          <w:p w:rsidR="00DA2EB4" w:rsidRPr="00817825" w:rsidRDefault="00DA2EB4" w:rsidP="00817825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 xml:space="preserve">Medium </w:t>
            </w:r>
          </w:p>
        </w:tc>
      </w:tr>
      <w:tr w:rsidR="00DA2EB4" w:rsidRPr="00A36BDE" w:rsidTr="00817825">
        <w:trPr>
          <w:trHeight w:val="337"/>
        </w:trPr>
        <w:tc>
          <w:tcPr>
            <w:tcW w:w="2116" w:type="dxa"/>
          </w:tcPr>
          <w:p w:rsidR="00DA2EB4" w:rsidRPr="00A36BDE" w:rsidRDefault="00DA2EB4" w:rsidP="00A36BDE">
            <w:pPr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 xml:space="preserve">Biological 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Death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Rare</w:t>
            </w:r>
          </w:p>
        </w:tc>
        <w:tc>
          <w:tcPr>
            <w:tcW w:w="2117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Low</w:t>
            </w:r>
          </w:p>
        </w:tc>
        <w:tc>
          <w:tcPr>
            <w:tcW w:w="2117" w:type="dxa"/>
            <w:vMerge/>
            <w:shd w:val="clear" w:color="auto" w:fill="FFFF00"/>
          </w:tcPr>
          <w:p w:rsidR="00DA2EB4" w:rsidRPr="00A36BDE" w:rsidRDefault="00DA2EB4" w:rsidP="00A36BDE">
            <w:pPr>
              <w:rPr>
                <w:rFonts w:ascii="Arial" w:hAnsi="Arial" w:cs="Arial"/>
              </w:rPr>
            </w:pPr>
          </w:p>
        </w:tc>
      </w:tr>
      <w:tr w:rsidR="00DA2EB4" w:rsidRPr="00A36BDE" w:rsidTr="00817825">
        <w:trPr>
          <w:trHeight w:val="337"/>
        </w:trPr>
        <w:tc>
          <w:tcPr>
            <w:tcW w:w="2116" w:type="dxa"/>
          </w:tcPr>
          <w:p w:rsidR="00DA2EB4" w:rsidRPr="00A36BDE" w:rsidRDefault="00DA2EB4" w:rsidP="00A36BDE">
            <w:pPr>
              <w:rPr>
                <w:rFonts w:ascii="Arial" w:hAnsi="Arial" w:cs="Arial"/>
                <w:b/>
              </w:rPr>
            </w:pPr>
            <w:r w:rsidRPr="00A36BDE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Minor Injury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Unlikely</w:t>
            </w:r>
          </w:p>
        </w:tc>
        <w:tc>
          <w:tcPr>
            <w:tcW w:w="2117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Low</w:t>
            </w:r>
          </w:p>
        </w:tc>
        <w:tc>
          <w:tcPr>
            <w:tcW w:w="2117" w:type="dxa"/>
            <w:vMerge/>
            <w:shd w:val="clear" w:color="auto" w:fill="FFFF00"/>
          </w:tcPr>
          <w:p w:rsidR="00DA2EB4" w:rsidRPr="00A36BDE" w:rsidRDefault="00DA2EB4" w:rsidP="00A36BDE">
            <w:pPr>
              <w:rPr>
                <w:rFonts w:ascii="Arial" w:hAnsi="Arial" w:cs="Arial"/>
              </w:rPr>
            </w:pPr>
          </w:p>
        </w:tc>
      </w:tr>
      <w:tr w:rsidR="00DA2EB4" w:rsidRPr="00A36BDE" w:rsidTr="00817825">
        <w:trPr>
          <w:trHeight w:val="360"/>
        </w:trPr>
        <w:tc>
          <w:tcPr>
            <w:tcW w:w="2116" w:type="dxa"/>
          </w:tcPr>
          <w:p w:rsidR="00DA2EB4" w:rsidRPr="00A36BDE" w:rsidRDefault="00DA2EB4" w:rsidP="00A36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Death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Rare</w:t>
            </w:r>
          </w:p>
        </w:tc>
        <w:tc>
          <w:tcPr>
            <w:tcW w:w="2117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 w:rsidRPr="00817825">
              <w:rPr>
                <w:rFonts w:ascii="Arial" w:hAnsi="Arial" w:cs="Arial"/>
                <w:i/>
                <w:color w:val="FF0000"/>
              </w:rPr>
              <w:t>Low</w:t>
            </w:r>
          </w:p>
        </w:tc>
        <w:tc>
          <w:tcPr>
            <w:tcW w:w="2117" w:type="dxa"/>
            <w:vMerge/>
            <w:shd w:val="clear" w:color="auto" w:fill="FFFF00"/>
          </w:tcPr>
          <w:p w:rsidR="00DA2EB4" w:rsidRPr="00A36BDE" w:rsidRDefault="00DA2EB4" w:rsidP="00A36BDE">
            <w:pPr>
              <w:rPr>
                <w:rFonts w:ascii="Arial" w:hAnsi="Arial" w:cs="Arial"/>
              </w:rPr>
            </w:pPr>
          </w:p>
        </w:tc>
      </w:tr>
      <w:tr w:rsidR="00DA2EB4" w:rsidRPr="00A36BDE" w:rsidTr="00817825">
        <w:trPr>
          <w:trHeight w:val="360"/>
        </w:trPr>
        <w:tc>
          <w:tcPr>
            <w:tcW w:w="2116" w:type="dxa"/>
          </w:tcPr>
          <w:p w:rsidR="00DA2EB4" w:rsidRDefault="00DA2EB4" w:rsidP="00A36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Mechanical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N/A</w:t>
            </w:r>
          </w:p>
        </w:tc>
        <w:tc>
          <w:tcPr>
            <w:tcW w:w="2116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N/A</w:t>
            </w:r>
          </w:p>
        </w:tc>
        <w:tc>
          <w:tcPr>
            <w:tcW w:w="2117" w:type="dxa"/>
          </w:tcPr>
          <w:p w:rsidR="00DA2EB4" w:rsidRPr="00817825" w:rsidRDefault="00DA2EB4" w:rsidP="00A36BDE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N/A</w:t>
            </w:r>
          </w:p>
        </w:tc>
        <w:tc>
          <w:tcPr>
            <w:tcW w:w="2117" w:type="dxa"/>
            <w:vMerge/>
            <w:shd w:val="clear" w:color="auto" w:fill="FFFF00"/>
          </w:tcPr>
          <w:p w:rsidR="00DA2EB4" w:rsidRPr="00A36BDE" w:rsidRDefault="00DA2EB4" w:rsidP="00A36BDE">
            <w:pPr>
              <w:rPr>
                <w:rFonts w:ascii="Arial" w:hAnsi="Arial" w:cs="Arial"/>
              </w:rPr>
            </w:pPr>
          </w:p>
        </w:tc>
      </w:tr>
    </w:tbl>
    <w:p w:rsidR="00A36BDE" w:rsidRDefault="00A36BDE" w:rsidP="00A36BDE">
      <w:pPr>
        <w:pStyle w:val="Heading2"/>
        <w:rPr>
          <w:i w:val="0"/>
          <w:sz w:val="22"/>
          <w:szCs w:val="22"/>
        </w:rPr>
      </w:pPr>
    </w:p>
    <w:p w:rsidR="003077B3" w:rsidRDefault="00A36BDE" w:rsidP="00591F5B">
      <w:pPr>
        <w:pStyle w:val="Heading2"/>
        <w:numPr>
          <w:ilvl w:val="1"/>
          <w:numId w:val="32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bookmarkStart w:id="21" w:name="_Toc481678977"/>
      <w:r>
        <w:rPr>
          <w:i w:val="0"/>
          <w:sz w:val="22"/>
          <w:szCs w:val="22"/>
        </w:rPr>
        <w:t>Chemical</w:t>
      </w:r>
      <w:bookmarkEnd w:id="21"/>
      <w:r>
        <w:rPr>
          <w:i w:val="0"/>
          <w:sz w:val="22"/>
          <w:szCs w:val="22"/>
        </w:rPr>
        <w:t xml:space="preserve"> </w:t>
      </w:r>
    </w:p>
    <w:p w:rsidR="00A36BDE" w:rsidRDefault="0068152D" w:rsidP="00A36BDE">
      <w:pPr>
        <w:rPr>
          <w:rFonts w:ascii="Arial" w:hAnsi="Arial" w:cs="Arial"/>
          <w:i/>
        </w:rPr>
      </w:pPr>
      <w:r w:rsidRPr="0068152D">
        <w:rPr>
          <w:rFonts w:ascii="Arial" w:hAnsi="Arial" w:cs="Arial"/>
          <w:i/>
        </w:rPr>
        <w:t xml:space="preserve">Please note – only chemicals which present a risk when used in this procedure need to be included in this table. </w:t>
      </w:r>
    </w:p>
    <w:p w:rsidR="0065025C" w:rsidRDefault="0065025C" w:rsidP="00A36BDE">
      <w:pPr>
        <w:rPr>
          <w:rFonts w:ascii="Arial" w:hAnsi="Arial" w:cs="Arial"/>
          <w:i/>
        </w:rPr>
      </w:pPr>
    </w:p>
    <w:tbl>
      <w:tblPr>
        <w:tblStyle w:val="TableGrid"/>
        <w:tblW w:w="10804" w:type="dxa"/>
        <w:tblInd w:w="-1225" w:type="dxa"/>
        <w:tblLayout w:type="fixed"/>
        <w:tblLook w:val="04A0"/>
      </w:tblPr>
      <w:tblGrid>
        <w:gridCol w:w="2184"/>
        <w:gridCol w:w="2155"/>
        <w:gridCol w:w="2239"/>
        <w:gridCol w:w="2268"/>
        <w:gridCol w:w="1958"/>
      </w:tblGrid>
      <w:tr w:rsidR="00CA4442" w:rsidTr="00CA4442">
        <w:tc>
          <w:tcPr>
            <w:tcW w:w="2184" w:type="dxa"/>
          </w:tcPr>
          <w:p w:rsidR="00CA4442" w:rsidRPr="00CA4442" w:rsidRDefault="00CA4442" w:rsidP="00A36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Chemical Risk</w:t>
            </w:r>
          </w:p>
        </w:tc>
        <w:tc>
          <w:tcPr>
            <w:tcW w:w="2155" w:type="dxa"/>
          </w:tcPr>
          <w:p w:rsidR="00CA4442" w:rsidRPr="00CA4442" w:rsidRDefault="00CA4442" w:rsidP="00A36BDE">
            <w:pPr>
              <w:rPr>
                <w:rFonts w:ascii="Arial" w:hAnsi="Arial" w:cs="Arial"/>
                <w:b/>
              </w:rPr>
            </w:pPr>
            <w:r w:rsidRPr="00CA4442">
              <w:rPr>
                <w:rFonts w:ascii="Arial" w:hAnsi="Arial" w:cs="Arial"/>
                <w:b/>
              </w:rPr>
              <w:t>Precautions</w:t>
            </w:r>
          </w:p>
        </w:tc>
        <w:tc>
          <w:tcPr>
            <w:tcW w:w="2239" w:type="dxa"/>
          </w:tcPr>
          <w:p w:rsidR="00CA4442" w:rsidRPr="00CA4442" w:rsidRDefault="00CA4442" w:rsidP="00A36BDE">
            <w:pPr>
              <w:rPr>
                <w:rFonts w:ascii="Arial" w:hAnsi="Arial" w:cs="Arial"/>
                <w:b/>
              </w:rPr>
            </w:pPr>
            <w:r w:rsidRPr="00CA4442">
              <w:rPr>
                <w:rFonts w:ascii="Arial" w:hAnsi="Arial" w:cs="Arial"/>
                <w:b/>
              </w:rPr>
              <w:t>Storage and Discard Requirements</w:t>
            </w:r>
          </w:p>
        </w:tc>
        <w:tc>
          <w:tcPr>
            <w:tcW w:w="2268" w:type="dxa"/>
          </w:tcPr>
          <w:p w:rsidR="00CA4442" w:rsidRPr="00CA4442" w:rsidRDefault="00CA4442" w:rsidP="00A36BDE">
            <w:pPr>
              <w:rPr>
                <w:rFonts w:ascii="Arial" w:hAnsi="Arial" w:cs="Arial"/>
                <w:b/>
              </w:rPr>
            </w:pPr>
            <w:r w:rsidRPr="00CA4442">
              <w:rPr>
                <w:rFonts w:ascii="Arial" w:hAnsi="Arial" w:cs="Arial"/>
                <w:b/>
              </w:rPr>
              <w:t>1</w:t>
            </w:r>
            <w:r w:rsidRPr="00CA4442">
              <w:rPr>
                <w:rFonts w:ascii="Arial" w:hAnsi="Arial" w:cs="Arial"/>
                <w:b/>
                <w:vertAlign w:val="superscript"/>
              </w:rPr>
              <w:t>st</w:t>
            </w:r>
            <w:r w:rsidRPr="00CA4442">
              <w:rPr>
                <w:rFonts w:ascii="Arial" w:hAnsi="Arial" w:cs="Arial"/>
                <w:b/>
              </w:rPr>
              <w:t xml:space="preserve"> Aid Measures</w:t>
            </w:r>
          </w:p>
        </w:tc>
        <w:tc>
          <w:tcPr>
            <w:tcW w:w="1958" w:type="dxa"/>
          </w:tcPr>
          <w:p w:rsidR="00CA4442" w:rsidRDefault="00CA4442" w:rsidP="00A36BDE">
            <w:pPr>
              <w:rPr>
                <w:rFonts w:ascii="Arial" w:hAnsi="Arial" w:cs="Arial"/>
                <w:b/>
              </w:rPr>
            </w:pPr>
            <w:r w:rsidRPr="00CA4442">
              <w:rPr>
                <w:rFonts w:ascii="Arial" w:hAnsi="Arial" w:cs="Arial"/>
                <w:b/>
              </w:rPr>
              <w:t>MSDS reference</w:t>
            </w:r>
          </w:p>
          <w:p w:rsidR="00CA4442" w:rsidRPr="00CA4442" w:rsidRDefault="00CA4442" w:rsidP="00A36BDE">
            <w:pPr>
              <w:rPr>
                <w:rFonts w:ascii="Arial" w:hAnsi="Arial" w:cs="Arial"/>
              </w:rPr>
            </w:pPr>
            <w:r w:rsidRPr="00CA4442">
              <w:rPr>
                <w:rFonts w:ascii="Arial" w:hAnsi="Arial" w:cs="Arial"/>
                <w:b/>
              </w:rPr>
              <w:t xml:space="preserve"> </w:t>
            </w:r>
            <w:r w:rsidRPr="00CA4442">
              <w:rPr>
                <w:rFonts w:ascii="Arial" w:hAnsi="Arial" w:cs="Arial"/>
              </w:rPr>
              <w:t>(Q-pulse)</w:t>
            </w:r>
          </w:p>
        </w:tc>
      </w:tr>
      <w:tr w:rsidR="00CA4442" w:rsidTr="00CA4442">
        <w:tc>
          <w:tcPr>
            <w:tcW w:w="2184" w:type="dxa"/>
          </w:tcPr>
          <w:p w:rsidR="00CA4442" w:rsidRPr="00357DF7" w:rsidRDefault="00607225" w:rsidP="00CA4442">
            <w:pPr>
              <w:tabs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Skin irritant</w:t>
            </w:r>
            <w:r w:rsidRPr="00607225">
              <w:rPr>
                <w:rFonts w:ascii="Arial" w:hAnsi="Arial" w:cs="Arial"/>
                <w:i/>
                <w:iCs/>
                <w:noProof/>
                <w:color w:val="FF0000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Picture 19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</w:rPr>
              <w:t>lyophylised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</w:rPr>
              <w:t xml:space="preserve"> che</w:t>
            </w:r>
            <w:r w:rsidR="00D730A3">
              <w:rPr>
                <w:rFonts w:ascii="Arial" w:hAnsi="Arial" w:cs="Arial"/>
                <w:i/>
                <w:iCs/>
                <w:color w:val="FF0000"/>
              </w:rPr>
              <w:t>mical beads enclosed in a plasti</w:t>
            </w:r>
            <w:r>
              <w:rPr>
                <w:rFonts w:ascii="Arial" w:hAnsi="Arial" w:cs="Arial"/>
                <w:i/>
                <w:iCs/>
                <w:color w:val="FF0000"/>
              </w:rPr>
              <w:t>c rotor</w:t>
            </w:r>
          </w:p>
          <w:p w:rsidR="00CA4442" w:rsidRDefault="00CA4442" w:rsidP="00CA4442">
            <w:pPr>
              <w:rPr>
                <w:rFonts w:ascii="Arial" w:hAnsi="Arial" w:cs="Arial"/>
              </w:rPr>
            </w:pPr>
          </w:p>
          <w:p w:rsidR="00F76F72" w:rsidRDefault="00F76F72" w:rsidP="00CA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 used in rotor:</w:t>
            </w:r>
          </w:p>
          <w:p w:rsidR="00F76F72" w:rsidRDefault="00F76F72" w:rsidP="00CA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Mannitol</w:t>
            </w:r>
            <w:proofErr w:type="spellEnd"/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Polyethylene glycol, 8000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Dextran</w:t>
            </w:r>
            <w:proofErr w:type="spellEnd"/>
            <w:r>
              <w:rPr>
                <w:sz w:val="22"/>
                <w:szCs w:val="22"/>
              </w:rPr>
              <w:t xml:space="preserve">, 70 USP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Tris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hydroxymethyl</w:t>
            </w:r>
            <w:proofErr w:type="spellEnd"/>
            <w:r>
              <w:rPr>
                <w:sz w:val="22"/>
                <w:szCs w:val="22"/>
              </w:rPr>
              <w:t xml:space="preserve">)amino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Polyethylene glycol, 3400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Polyethylene glycol, 2000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Sodium Chloride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POPSO, Disodium salt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Sodium </w:t>
            </w:r>
            <w:proofErr w:type="spellStart"/>
            <w:r>
              <w:rPr>
                <w:sz w:val="22"/>
                <w:szCs w:val="22"/>
              </w:rPr>
              <w:t>Thiocyanate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L-Aspartic Acid </w:t>
            </w:r>
          </w:p>
          <w:p w:rsidR="00F76F72" w:rsidRDefault="00F76F72" w:rsidP="00F76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Lithium Hydroxide, </w:t>
            </w:r>
          </w:p>
          <w:p w:rsidR="00F76F72" w:rsidRDefault="00F76F72" w:rsidP="00F76F72">
            <w:pPr>
              <w:pStyle w:val="Default"/>
            </w:pPr>
            <w:proofErr w:type="spellStart"/>
            <w:r>
              <w:t>Tris</w:t>
            </w:r>
            <w:proofErr w:type="spellEnd"/>
            <w:r>
              <w:t>, HCL</w:t>
            </w:r>
          </w:p>
          <w:p w:rsidR="00F76F72" w:rsidRDefault="00F76F72" w:rsidP="00CA4442">
            <w:pPr>
              <w:rPr>
                <w:rFonts w:ascii="Arial" w:hAnsi="Arial" w:cs="Arial"/>
              </w:rPr>
            </w:pPr>
          </w:p>
          <w:p w:rsidR="00F76F72" w:rsidRPr="00F76F72" w:rsidRDefault="00F76F72" w:rsidP="00CA4442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CA4442" w:rsidRDefault="00607225" w:rsidP="00A36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gloves when handling rotor</w:t>
            </w:r>
          </w:p>
        </w:tc>
        <w:tc>
          <w:tcPr>
            <w:tcW w:w="2239" w:type="dxa"/>
          </w:tcPr>
          <w:p w:rsidR="00CA4442" w:rsidRDefault="00607225" w:rsidP="00A36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Store in fridge and discard into a </w:t>
            </w:r>
            <w:proofErr w:type="spellStart"/>
            <w:r>
              <w:rPr>
                <w:rFonts w:ascii="Arial" w:hAnsi="Arial" w:cs="Arial"/>
              </w:rPr>
              <w:t>sharpsafe</w:t>
            </w:r>
            <w:proofErr w:type="spellEnd"/>
            <w:r>
              <w:rPr>
                <w:rFonts w:ascii="Arial" w:hAnsi="Arial" w:cs="Arial"/>
              </w:rPr>
              <w:t>™</w:t>
            </w:r>
          </w:p>
        </w:tc>
        <w:tc>
          <w:tcPr>
            <w:tcW w:w="2268" w:type="dxa"/>
          </w:tcPr>
          <w:p w:rsidR="00CA4442" w:rsidRDefault="00607225" w:rsidP="00CA44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Fush</w:t>
            </w:r>
            <w:proofErr w:type="spellEnd"/>
            <w:r>
              <w:rPr>
                <w:rFonts w:ascii="Arial" w:hAnsi="Arial" w:cs="Arial"/>
              </w:rPr>
              <w:t xml:space="preserve"> exposed skin with copious amounts of water for at least 15 minutes </w:t>
            </w:r>
          </w:p>
        </w:tc>
        <w:tc>
          <w:tcPr>
            <w:tcW w:w="1958" w:type="dxa"/>
          </w:tcPr>
          <w:p w:rsidR="00CA4442" w:rsidRDefault="00437734" w:rsidP="00A36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POCT-SDS4</w:t>
            </w:r>
          </w:p>
        </w:tc>
      </w:tr>
      <w:tr w:rsidR="00CA4442" w:rsidTr="00CA4442">
        <w:tc>
          <w:tcPr>
            <w:tcW w:w="2184" w:type="dxa"/>
          </w:tcPr>
          <w:p w:rsidR="00CA4442" w:rsidRPr="005D16B4" w:rsidRDefault="00CA4442" w:rsidP="00CA4442">
            <w:pPr>
              <w:tabs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rPr>
                <w:rFonts w:ascii="Arial" w:hAnsi="Arial" w:cs="Arial"/>
                <w:bCs/>
                <w:iCs/>
                <w:color w:val="FF0000"/>
              </w:rPr>
            </w:pPr>
          </w:p>
          <w:p w:rsidR="00CA4442" w:rsidRPr="005D16B4" w:rsidRDefault="00CA4442" w:rsidP="00CA4442">
            <w:pPr>
              <w:tabs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rPr>
                <w:rFonts w:ascii="Arial" w:hAnsi="Arial" w:cs="Arial"/>
                <w:iCs/>
                <w:color w:val="FF0000"/>
              </w:rPr>
            </w:pPr>
          </w:p>
          <w:p w:rsidR="00CA4442" w:rsidRPr="00013218" w:rsidRDefault="00CA4442" w:rsidP="00CA4442">
            <w:pPr>
              <w:tabs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rPr>
                <w:noProof/>
              </w:rPr>
            </w:pPr>
          </w:p>
        </w:tc>
        <w:tc>
          <w:tcPr>
            <w:tcW w:w="2155" w:type="dxa"/>
          </w:tcPr>
          <w:p w:rsidR="00CA4442" w:rsidRDefault="00CA4442" w:rsidP="00CA4442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CA4442" w:rsidRDefault="00CA4442" w:rsidP="00CA44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4442" w:rsidRDefault="00CA4442" w:rsidP="00CA4442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CA4442" w:rsidRDefault="00CA4442" w:rsidP="00CA4442">
            <w:pPr>
              <w:rPr>
                <w:rFonts w:ascii="Arial" w:hAnsi="Arial" w:cs="Arial"/>
              </w:rPr>
            </w:pPr>
          </w:p>
        </w:tc>
      </w:tr>
    </w:tbl>
    <w:p w:rsidR="003077B3" w:rsidRPr="0007718D" w:rsidRDefault="003077B3" w:rsidP="00CA4442">
      <w:pPr>
        <w:rPr>
          <w:rFonts w:ascii="Arial" w:hAnsi="Arial" w:cs="Arial"/>
          <w:u w:val="single"/>
        </w:rPr>
      </w:pPr>
    </w:p>
    <w:p w:rsidR="0007718D" w:rsidRDefault="00152A6D" w:rsidP="0007718D">
      <w:pPr>
        <w:pStyle w:val="Heading2"/>
        <w:numPr>
          <w:ilvl w:val="1"/>
          <w:numId w:val="32"/>
        </w:numPr>
        <w:rPr>
          <w:i w:val="0"/>
          <w:iCs w:val="0"/>
          <w:sz w:val="22"/>
        </w:rPr>
      </w:pPr>
      <w:bookmarkStart w:id="22" w:name="_Toc408997627"/>
      <w:bookmarkStart w:id="23" w:name="_Toc481678978"/>
      <w:r w:rsidRPr="00415F6F">
        <w:rPr>
          <w:i w:val="0"/>
          <w:iCs w:val="0"/>
          <w:sz w:val="22"/>
        </w:rPr>
        <w:t>Biological Hazard</w:t>
      </w:r>
      <w:bookmarkEnd w:id="22"/>
      <w:bookmarkEnd w:id="23"/>
    </w:p>
    <w:p w:rsidR="00A52858" w:rsidRPr="00A52858" w:rsidRDefault="00A52858" w:rsidP="00A52858"/>
    <w:tbl>
      <w:tblPr>
        <w:tblStyle w:val="TableGrid"/>
        <w:tblW w:w="9357" w:type="dxa"/>
        <w:tblInd w:w="-512" w:type="dxa"/>
        <w:tblLayout w:type="fixed"/>
        <w:tblLook w:val="04A0"/>
      </w:tblPr>
      <w:tblGrid>
        <w:gridCol w:w="3119"/>
        <w:gridCol w:w="3119"/>
        <w:gridCol w:w="3119"/>
      </w:tblGrid>
      <w:tr w:rsidR="00A52858" w:rsidTr="00A52858">
        <w:tc>
          <w:tcPr>
            <w:tcW w:w="3119" w:type="dxa"/>
          </w:tcPr>
          <w:p w:rsidR="00A52858" w:rsidRDefault="00A52858" w:rsidP="00A5285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Biological</w:t>
            </w:r>
            <w:r w:rsidRPr="00A36BDE">
              <w:rPr>
                <w:rFonts w:ascii="Arial" w:hAnsi="Arial" w:cs="Arial"/>
                <w:b/>
                <w:iCs/>
              </w:rPr>
              <w:t xml:space="preserve"> Risk</w:t>
            </w:r>
          </w:p>
          <w:p w:rsidR="00A52858" w:rsidRDefault="00A52858" w:rsidP="00A52858"/>
        </w:tc>
        <w:tc>
          <w:tcPr>
            <w:tcW w:w="3119" w:type="dxa"/>
          </w:tcPr>
          <w:p w:rsidR="00A52858" w:rsidRDefault="00A52858" w:rsidP="00A52858">
            <w:r w:rsidRPr="00A36BDE">
              <w:rPr>
                <w:rFonts w:ascii="Arial" w:hAnsi="Arial" w:cs="Arial"/>
                <w:b/>
                <w:iCs/>
              </w:rPr>
              <w:t>Precautions</w:t>
            </w:r>
          </w:p>
        </w:tc>
        <w:tc>
          <w:tcPr>
            <w:tcW w:w="3119" w:type="dxa"/>
          </w:tcPr>
          <w:p w:rsidR="00A52858" w:rsidRDefault="00A52858" w:rsidP="00A52858">
            <w:r w:rsidRPr="00A36BDE">
              <w:rPr>
                <w:rFonts w:ascii="Arial" w:hAnsi="Arial" w:cs="Arial"/>
                <w:b/>
                <w:iCs/>
              </w:rPr>
              <w:t>Precautions</w:t>
            </w:r>
          </w:p>
        </w:tc>
      </w:tr>
      <w:tr w:rsidR="00A52858" w:rsidTr="00A52858">
        <w:tc>
          <w:tcPr>
            <w:tcW w:w="3119" w:type="dxa"/>
          </w:tcPr>
          <w:p w:rsidR="00A52858" w:rsidRDefault="00A52858" w:rsidP="00A52858"/>
          <w:p w:rsidR="00A52858" w:rsidRPr="00607225" w:rsidRDefault="00607225" w:rsidP="00A52858">
            <w:pPr>
              <w:rPr>
                <w:rFonts w:ascii="Arial" w:hAnsi="Arial" w:cs="Arial"/>
              </w:rPr>
            </w:pPr>
            <w:r w:rsidRPr="00607225">
              <w:rPr>
                <w:rFonts w:ascii="Arial" w:hAnsi="Arial" w:cs="Arial"/>
              </w:rPr>
              <w:t>There is a risk of contact with blood borne viruses and other infective agents when handling patien</w:t>
            </w:r>
            <w:r w:rsidR="00A761DE">
              <w:rPr>
                <w:rFonts w:ascii="Arial" w:hAnsi="Arial" w:cs="Arial"/>
              </w:rPr>
              <w:t>t samples and quality control</w:t>
            </w:r>
          </w:p>
          <w:p w:rsidR="00A52858" w:rsidRDefault="00A52858" w:rsidP="00A52858"/>
          <w:p w:rsidR="00A52858" w:rsidRDefault="00A52858" w:rsidP="00A52858"/>
        </w:tc>
        <w:tc>
          <w:tcPr>
            <w:tcW w:w="3119" w:type="dxa"/>
          </w:tcPr>
          <w:p w:rsidR="00A52858" w:rsidRPr="00902EF7" w:rsidRDefault="00902EF7" w:rsidP="00A52858">
            <w:pPr>
              <w:rPr>
                <w:rFonts w:ascii="Arial" w:hAnsi="Arial" w:cs="Arial"/>
              </w:rPr>
            </w:pPr>
            <w:r w:rsidRPr="00902EF7">
              <w:rPr>
                <w:rFonts w:ascii="Arial" w:hAnsi="Arial" w:cs="Arial"/>
              </w:rPr>
              <w:t>Wear Gloves when handling samples</w:t>
            </w:r>
            <w:r w:rsidR="00A761DE">
              <w:rPr>
                <w:rFonts w:ascii="Arial" w:hAnsi="Arial" w:cs="Arial"/>
              </w:rPr>
              <w:t xml:space="preserve"> and quality control</w:t>
            </w:r>
          </w:p>
        </w:tc>
        <w:tc>
          <w:tcPr>
            <w:tcW w:w="3119" w:type="dxa"/>
          </w:tcPr>
          <w:p w:rsidR="00A52858" w:rsidRDefault="00A52858" w:rsidP="00A52858"/>
        </w:tc>
      </w:tr>
    </w:tbl>
    <w:p w:rsidR="00A36BDE" w:rsidRPr="00A36BDE" w:rsidRDefault="00A36BDE" w:rsidP="00A36BDE"/>
    <w:p w:rsidR="00152A6D" w:rsidRPr="00415F6F" w:rsidRDefault="00152A6D" w:rsidP="00415F6F">
      <w:pPr>
        <w:pStyle w:val="Heading2"/>
        <w:numPr>
          <w:ilvl w:val="1"/>
          <w:numId w:val="32"/>
        </w:numPr>
        <w:rPr>
          <w:i w:val="0"/>
          <w:iCs w:val="0"/>
          <w:sz w:val="22"/>
        </w:rPr>
      </w:pPr>
      <w:bookmarkStart w:id="24" w:name="_Toc408997628"/>
      <w:bookmarkStart w:id="25" w:name="_Toc481678979"/>
      <w:r w:rsidRPr="00415F6F">
        <w:rPr>
          <w:i w:val="0"/>
          <w:iCs w:val="0"/>
          <w:sz w:val="22"/>
        </w:rPr>
        <w:t>Physical Hazard</w:t>
      </w:r>
      <w:bookmarkEnd w:id="24"/>
      <w:bookmarkEnd w:id="25"/>
    </w:p>
    <w:p w:rsidR="00152A6D" w:rsidRPr="00152A6D" w:rsidRDefault="00152A6D" w:rsidP="00152A6D">
      <w:pPr>
        <w:rPr>
          <w:rFonts w:ascii="Arial" w:hAnsi="Arial" w:cs="Arial"/>
          <w:b/>
        </w:rPr>
      </w:pPr>
    </w:p>
    <w:p w:rsidR="0068152D" w:rsidRDefault="0068152D" w:rsidP="0068152D">
      <w:pPr>
        <w:rPr>
          <w:rFonts w:ascii="Arial" w:hAnsi="Arial" w:cs="Arial"/>
          <w:i/>
        </w:rPr>
      </w:pPr>
      <w:bookmarkStart w:id="26" w:name="_Toc128215579"/>
      <w:bookmarkStart w:id="27" w:name="_Toc128219113"/>
      <w:bookmarkStart w:id="28" w:name="_Toc128219244"/>
      <w:bookmarkStart w:id="29" w:name="_Toc128306269"/>
      <w:bookmarkStart w:id="30" w:name="_Toc128306328"/>
      <w:bookmarkStart w:id="31" w:name="_Toc128306459"/>
      <w:bookmarkStart w:id="32" w:name="_Toc128475529"/>
      <w:bookmarkStart w:id="33" w:name="_Toc129064870"/>
      <w:bookmarkStart w:id="34" w:name="_Toc129157130"/>
      <w:r w:rsidRPr="0068152D">
        <w:rPr>
          <w:rFonts w:ascii="Arial" w:hAnsi="Arial" w:cs="Arial"/>
          <w:i/>
        </w:rPr>
        <w:t xml:space="preserve">Please note – </w:t>
      </w:r>
      <w:r>
        <w:rPr>
          <w:rFonts w:ascii="Arial" w:hAnsi="Arial" w:cs="Arial"/>
          <w:i/>
        </w:rPr>
        <w:t xml:space="preserve">this includes any manual handling and VDU risk assessments required and </w:t>
      </w:r>
      <w:r w:rsidRPr="0068152D">
        <w:rPr>
          <w:rFonts w:ascii="Arial" w:hAnsi="Arial" w:cs="Arial"/>
          <w:i/>
        </w:rPr>
        <w:t xml:space="preserve">need to be included in this table. </w:t>
      </w:r>
    </w:p>
    <w:p w:rsidR="00A52858" w:rsidRDefault="00A52858" w:rsidP="0068152D">
      <w:pPr>
        <w:rPr>
          <w:rFonts w:ascii="Arial" w:hAnsi="Arial" w:cs="Arial"/>
          <w:i/>
        </w:rPr>
      </w:pPr>
    </w:p>
    <w:tbl>
      <w:tblPr>
        <w:tblStyle w:val="TableGrid"/>
        <w:tblW w:w="9752" w:type="dxa"/>
        <w:tblInd w:w="-715" w:type="dxa"/>
        <w:tblLayout w:type="fixed"/>
        <w:tblLook w:val="04A0"/>
      </w:tblPr>
      <w:tblGrid>
        <w:gridCol w:w="2438"/>
        <w:gridCol w:w="2438"/>
        <w:gridCol w:w="2438"/>
        <w:gridCol w:w="2438"/>
      </w:tblGrid>
      <w:tr w:rsidR="00A52858" w:rsidTr="00A52858"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Physical</w:t>
            </w:r>
            <w:r w:rsidRPr="00A36BDE">
              <w:rPr>
                <w:rFonts w:ascii="Arial" w:hAnsi="Arial" w:cs="Arial"/>
                <w:b/>
                <w:iCs/>
              </w:rPr>
              <w:t xml:space="preserve"> Risk</w:t>
            </w: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  <w:r w:rsidRPr="00A36BDE">
              <w:rPr>
                <w:rFonts w:ascii="Arial" w:hAnsi="Arial" w:cs="Arial"/>
                <w:b/>
                <w:iCs/>
              </w:rPr>
              <w:t>Precautions</w:t>
            </w: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1</w:t>
            </w:r>
            <w:r w:rsidRPr="00484996">
              <w:rPr>
                <w:rFonts w:ascii="Arial" w:hAnsi="Arial" w:cs="Arial"/>
                <w:b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iCs/>
              </w:rPr>
              <w:t xml:space="preserve"> Aid Measures</w:t>
            </w:r>
          </w:p>
        </w:tc>
        <w:tc>
          <w:tcPr>
            <w:tcW w:w="2438" w:type="dxa"/>
          </w:tcPr>
          <w:p w:rsidR="00A52858" w:rsidRDefault="00A52858" w:rsidP="00A528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-288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Any pertinent other </w:t>
            </w:r>
          </w:p>
          <w:p w:rsidR="00A52858" w:rsidRDefault="00A52858" w:rsidP="00A52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Reference material </w:t>
            </w:r>
            <w:r w:rsidRPr="00A36BDE">
              <w:rPr>
                <w:rFonts w:ascii="Arial" w:hAnsi="Arial" w:cs="Arial"/>
              </w:rPr>
              <w:t xml:space="preserve"> </w:t>
            </w:r>
          </w:p>
        </w:tc>
      </w:tr>
      <w:tr w:rsidR="00A52858" w:rsidTr="00A52858">
        <w:tc>
          <w:tcPr>
            <w:tcW w:w="2438" w:type="dxa"/>
          </w:tcPr>
          <w:p w:rsidR="00AB5EB6" w:rsidRPr="00AB5EB6" w:rsidRDefault="00D730A3" w:rsidP="0068152D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</w:rPr>
              <w:t>Ele</w:t>
            </w:r>
            <w:r w:rsidR="00AB5EB6">
              <w:rPr>
                <w:rFonts w:ascii="Arial" w:hAnsi="Arial" w:cs="Arial"/>
                <w:bCs/>
                <w:i/>
                <w:iCs/>
                <w:color w:val="FF0000"/>
              </w:rPr>
              <w:t>ctrical</w:t>
            </w:r>
          </w:p>
        </w:tc>
        <w:tc>
          <w:tcPr>
            <w:tcW w:w="2438" w:type="dxa"/>
          </w:tcPr>
          <w:p w:rsidR="00AB5EB6" w:rsidRPr="00AB5EB6" w:rsidRDefault="00AB5EB6" w:rsidP="00AB5E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EB6">
              <w:rPr>
                <w:rFonts w:ascii="Arial" w:hAnsi="Arial" w:cs="Arial"/>
              </w:rPr>
              <w:t>Place the analyzer on a level surface that is free of hair, dust, and other contaminants. Do not</w:t>
            </w:r>
          </w:p>
          <w:p w:rsidR="00A52858" w:rsidRDefault="00AB5EB6" w:rsidP="00AB5EB6">
            <w:pPr>
              <w:rPr>
                <w:rFonts w:ascii="Arial" w:hAnsi="Arial" w:cs="Arial"/>
              </w:rPr>
            </w:pPr>
            <w:proofErr w:type="gramStart"/>
            <w:r w:rsidRPr="00AB5EB6">
              <w:rPr>
                <w:rFonts w:ascii="Arial" w:hAnsi="Arial" w:cs="Arial"/>
              </w:rPr>
              <w:t>place</w:t>
            </w:r>
            <w:proofErr w:type="gramEnd"/>
            <w:r w:rsidRPr="00AB5EB6">
              <w:rPr>
                <w:rFonts w:ascii="Arial" w:hAnsi="Arial" w:cs="Arial"/>
              </w:rPr>
              <w:t xml:space="preserve"> the analyzer near a sunny window or any other heat source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A52858" w:rsidRPr="00AB5EB6" w:rsidRDefault="00A52858" w:rsidP="00AB5E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-288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</w:tr>
    </w:tbl>
    <w:p w:rsidR="00A52858" w:rsidRPr="00A52858" w:rsidRDefault="00A52858" w:rsidP="0068152D">
      <w:pPr>
        <w:rPr>
          <w:rFonts w:ascii="Arial" w:hAnsi="Arial" w:cs="Arial"/>
        </w:rPr>
      </w:pPr>
    </w:p>
    <w:p w:rsidR="00A52858" w:rsidRPr="00A52858" w:rsidRDefault="00A52858" w:rsidP="0007718D">
      <w:pPr>
        <w:rPr>
          <w:rFonts w:ascii="Arial" w:hAnsi="Arial" w:cs="Arial"/>
          <w:color w:val="808080"/>
        </w:rPr>
      </w:pPr>
    </w:p>
    <w:p w:rsidR="0068152D" w:rsidRDefault="00A36BDE" w:rsidP="0068152D">
      <w:pPr>
        <w:pStyle w:val="Heading2"/>
        <w:numPr>
          <w:ilvl w:val="1"/>
          <w:numId w:val="32"/>
        </w:numPr>
        <w:rPr>
          <w:i w:val="0"/>
          <w:iCs w:val="0"/>
          <w:sz w:val="22"/>
        </w:rPr>
      </w:pPr>
      <w:bookmarkStart w:id="35" w:name="_Toc408997629"/>
      <w:bookmarkStart w:id="36" w:name="_Toc481678980"/>
      <w:r>
        <w:rPr>
          <w:i w:val="0"/>
          <w:iCs w:val="0"/>
          <w:sz w:val="22"/>
        </w:rPr>
        <w:t xml:space="preserve">Room </w:t>
      </w:r>
      <w:r w:rsidR="00152A6D" w:rsidRPr="00415F6F">
        <w:rPr>
          <w:i w:val="0"/>
          <w:iCs w:val="0"/>
          <w:sz w:val="22"/>
        </w:rPr>
        <w:t>Risk Assessmen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07718D" w:rsidRPr="00415F6F">
        <w:rPr>
          <w:i w:val="0"/>
          <w:iCs w:val="0"/>
          <w:sz w:val="22"/>
        </w:rPr>
        <w:t>t</w:t>
      </w:r>
      <w:r>
        <w:rPr>
          <w:i w:val="0"/>
          <w:iCs w:val="0"/>
          <w:sz w:val="22"/>
        </w:rPr>
        <w:t xml:space="preserve"> (if required)</w:t>
      </w:r>
      <w:bookmarkEnd w:id="36"/>
    </w:p>
    <w:p w:rsidR="0068152D" w:rsidRPr="0068152D" w:rsidRDefault="0068152D" w:rsidP="0068152D"/>
    <w:p w:rsidR="0068152D" w:rsidRDefault="0068152D" w:rsidP="0068152D">
      <w:pPr>
        <w:rPr>
          <w:rFonts w:ascii="Arial" w:hAnsi="Arial" w:cs="Arial"/>
          <w:i/>
        </w:rPr>
      </w:pPr>
      <w:r w:rsidRPr="0068152D">
        <w:rPr>
          <w:rFonts w:ascii="Arial" w:hAnsi="Arial" w:cs="Arial"/>
          <w:i/>
        </w:rPr>
        <w:t xml:space="preserve">Please note – </w:t>
      </w:r>
      <w:r>
        <w:rPr>
          <w:rFonts w:ascii="Arial" w:hAnsi="Arial" w:cs="Arial"/>
          <w:i/>
        </w:rPr>
        <w:t xml:space="preserve">this includes any room which had special requirements for example dark rooms, CL3 laboratories. </w:t>
      </w:r>
    </w:p>
    <w:p w:rsidR="00A52858" w:rsidRDefault="00A52858" w:rsidP="0068152D">
      <w:pPr>
        <w:rPr>
          <w:rFonts w:ascii="Arial" w:hAnsi="Arial" w:cs="Arial"/>
          <w:i/>
        </w:rPr>
      </w:pPr>
    </w:p>
    <w:p w:rsidR="00A52858" w:rsidRDefault="00A52858" w:rsidP="0068152D">
      <w:pPr>
        <w:rPr>
          <w:rFonts w:ascii="Arial" w:hAnsi="Arial" w:cs="Arial"/>
          <w:i/>
        </w:rPr>
      </w:pPr>
    </w:p>
    <w:tbl>
      <w:tblPr>
        <w:tblStyle w:val="TableGrid"/>
        <w:tblW w:w="9752" w:type="dxa"/>
        <w:tblInd w:w="-715" w:type="dxa"/>
        <w:tblLayout w:type="fixed"/>
        <w:tblLook w:val="04A0"/>
      </w:tblPr>
      <w:tblGrid>
        <w:gridCol w:w="2438"/>
        <w:gridCol w:w="2438"/>
        <w:gridCol w:w="2438"/>
        <w:gridCol w:w="2438"/>
      </w:tblGrid>
      <w:tr w:rsidR="00A52858" w:rsidTr="00A52858"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 xml:space="preserve">Room </w:t>
            </w:r>
            <w:r w:rsidRPr="00A36BDE">
              <w:rPr>
                <w:rFonts w:ascii="Arial" w:hAnsi="Arial" w:cs="Arial"/>
                <w:b/>
                <w:iCs/>
              </w:rPr>
              <w:t>Risk</w:t>
            </w: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  <w:r w:rsidRPr="00A36BDE">
              <w:rPr>
                <w:rFonts w:ascii="Arial" w:hAnsi="Arial" w:cs="Arial"/>
                <w:b/>
                <w:iCs/>
              </w:rPr>
              <w:t>Precautions</w:t>
            </w: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1</w:t>
            </w:r>
            <w:r w:rsidRPr="00484996">
              <w:rPr>
                <w:rFonts w:ascii="Arial" w:hAnsi="Arial" w:cs="Arial"/>
                <w:b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iCs/>
              </w:rPr>
              <w:t xml:space="preserve"> Aid Measures</w:t>
            </w:r>
          </w:p>
        </w:tc>
        <w:tc>
          <w:tcPr>
            <w:tcW w:w="2438" w:type="dxa"/>
          </w:tcPr>
          <w:p w:rsidR="00A52858" w:rsidRDefault="00A52858" w:rsidP="00A528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4"/>
                <w:tab w:val="left" w:pos="5760"/>
                <w:tab w:val="left" w:pos="6480"/>
                <w:tab w:val="left" w:pos="7200"/>
                <w:tab w:val="left" w:pos="7920"/>
              </w:tabs>
              <w:ind w:right="-288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Any pertinent other </w:t>
            </w:r>
          </w:p>
          <w:p w:rsidR="00A52858" w:rsidRDefault="00A52858" w:rsidP="00A52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Reference material </w:t>
            </w:r>
            <w:r w:rsidRPr="00A36BDE">
              <w:rPr>
                <w:rFonts w:ascii="Arial" w:hAnsi="Arial" w:cs="Arial"/>
              </w:rPr>
              <w:t xml:space="preserve"> </w:t>
            </w:r>
          </w:p>
        </w:tc>
      </w:tr>
      <w:tr w:rsidR="00A52858" w:rsidTr="00A52858"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</w:tr>
      <w:tr w:rsidR="00A52858" w:rsidTr="00A52858"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2858" w:rsidRDefault="00A52858" w:rsidP="0068152D">
            <w:pPr>
              <w:rPr>
                <w:rFonts w:ascii="Arial" w:hAnsi="Arial" w:cs="Arial"/>
              </w:rPr>
            </w:pPr>
          </w:p>
        </w:tc>
      </w:tr>
    </w:tbl>
    <w:p w:rsidR="00A52858" w:rsidRPr="00A52858" w:rsidRDefault="00A52858" w:rsidP="0068152D">
      <w:pPr>
        <w:rPr>
          <w:rFonts w:ascii="Arial" w:hAnsi="Arial" w:cs="Arial"/>
        </w:rPr>
      </w:pPr>
    </w:p>
    <w:p w:rsidR="00152A6D" w:rsidRDefault="00152A6D" w:rsidP="00152A6D">
      <w:pPr>
        <w:rPr>
          <w:rFonts w:ascii="Arial" w:hAnsi="Arial" w:cs="Arial"/>
        </w:rPr>
      </w:pPr>
    </w:p>
    <w:p w:rsidR="00A52858" w:rsidRDefault="00A52858" w:rsidP="00152A6D">
      <w:pPr>
        <w:rPr>
          <w:rFonts w:ascii="Arial" w:hAnsi="Arial" w:cs="Arial"/>
        </w:rPr>
      </w:pPr>
    </w:p>
    <w:p w:rsidR="0068152D" w:rsidRDefault="0068152D" w:rsidP="00152A6D">
      <w:pPr>
        <w:rPr>
          <w:rFonts w:ascii="Arial" w:hAnsi="Arial" w:cs="Arial"/>
        </w:rPr>
      </w:pPr>
    </w:p>
    <w:p w:rsidR="00A52858" w:rsidRDefault="00A52858" w:rsidP="00152A6D">
      <w:pPr>
        <w:rPr>
          <w:rFonts w:ascii="Arial" w:hAnsi="Arial" w:cs="Arial"/>
        </w:rPr>
      </w:pPr>
    </w:p>
    <w:p w:rsidR="00A52858" w:rsidRPr="00152A6D" w:rsidRDefault="00A52858" w:rsidP="00152A6D">
      <w:pPr>
        <w:rPr>
          <w:rFonts w:ascii="Arial" w:hAnsi="Arial" w:cs="Arial"/>
        </w:rPr>
      </w:pPr>
    </w:p>
    <w:p w:rsidR="00FD70F5" w:rsidRPr="00152A6D" w:rsidRDefault="00FD70F5" w:rsidP="003077B3">
      <w:pPr>
        <w:rPr>
          <w:rFonts w:ascii="Arial" w:hAnsi="Arial" w:cs="Arial"/>
          <w:sz w:val="22"/>
          <w:szCs w:val="22"/>
        </w:rPr>
      </w:pPr>
    </w:p>
    <w:p w:rsidR="00697F37" w:rsidRPr="00152A6D" w:rsidRDefault="00697F37" w:rsidP="00BF5F4D">
      <w:pPr>
        <w:pStyle w:val="ListParagraph"/>
        <w:ind w:left="0"/>
        <w:rPr>
          <w:rFonts w:ascii="Arial" w:hAnsi="Arial" w:cs="Arial"/>
          <w:b/>
          <w:bCs/>
          <w:caps/>
          <w:sz w:val="22"/>
          <w:u w:val="single"/>
        </w:rPr>
      </w:pPr>
    </w:p>
    <w:p w:rsidR="00BA4D9B" w:rsidRPr="00152A6D" w:rsidRDefault="00BA4D9B" w:rsidP="00BF5F4D">
      <w:pPr>
        <w:pStyle w:val="ListParagraph"/>
        <w:ind w:left="0"/>
        <w:rPr>
          <w:rFonts w:ascii="Arial" w:hAnsi="Arial" w:cs="Arial"/>
          <w:b/>
          <w:bCs/>
          <w:caps/>
          <w:sz w:val="22"/>
          <w:u w:val="single"/>
        </w:rPr>
      </w:pPr>
    </w:p>
    <w:p w:rsidR="00697F37" w:rsidRPr="00BA4D9B" w:rsidRDefault="000C0E8F" w:rsidP="00BF5F4D">
      <w:pPr>
        <w:pStyle w:val="ListParagraph"/>
        <w:ind w:left="0"/>
        <w:rPr>
          <w:rFonts w:ascii="Arial" w:hAnsi="Arial" w:cs="Arial"/>
          <w:b/>
          <w:bCs/>
          <w:caps/>
          <w:sz w:val="22"/>
          <w:u w:val="single"/>
        </w:rPr>
      </w:pPr>
      <w:r>
        <w:rPr>
          <w:rFonts w:ascii="Arial" w:hAnsi="Arial" w:cs="Arial"/>
          <w:b/>
          <w:bCs/>
          <w:caps/>
          <w:sz w:val="22"/>
          <w:u w:val="single"/>
        </w:rPr>
        <w:br w:type="page"/>
      </w:r>
    </w:p>
    <w:p w:rsidR="00765AA6" w:rsidRPr="00C94AB0" w:rsidRDefault="00765AA6" w:rsidP="005E1508">
      <w:pPr>
        <w:pStyle w:val="Heading1"/>
        <w:numPr>
          <w:ilvl w:val="0"/>
          <w:numId w:val="32"/>
        </w:numPr>
        <w:rPr>
          <w:bCs/>
          <w:caps/>
          <w:u w:val="single"/>
        </w:rPr>
      </w:pPr>
      <w:bookmarkStart w:id="37" w:name="_Toc481678981"/>
      <w:r w:rsidRPr="00C94AB0">
        <w:rPr>
          <w:bCs/>
          <w:caps/>
          <w:u w:val="single"/>
        </w:rPr>
        <w:lastRenderedPageBreak/>
        <w:t>CONTENT</w:t>
      </w:r>
      <w:bookmarkEnd w:id="37"/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960861" w:rsidRPr="00960861" w:rsidRDefault="00765AA6" w:rsidP="00960861">
      <w:pPr>
        <w:pStyle w:val="Heading1"/>
        <w:numPr>
          <w:ilvl w:val="0"/>
          <w:numId w:val="35"/>
        </w:numPr>
        <w:rPr>
          <w:bCs/>
          <w:caps/>
        </w:rPr>
      </w:pPr>
      <w:bookmarkStart w:id="38" w:name="_Toc481678982"/>
      <w:r w:rsidRPr="00415F6F">
        <w:rPr>
          <w:bCs/>
          <w:caps/>
        </w:rPr>
        <w:t>Purpose of the examination</w:t>
      </w:r>
      <w:bookmarkEnd w:id="38"/>
    </w:p>
    <w:p w:rsidR="00AB5EB6" w:rsidRPr="00013218" w:rsidRDefault="00AB5EB6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>The Piccolo Xpress chemistry system consists of a portable analyzer</w:t>
      </w:r>
      <w:r w:rsidR="002D7D1D" w:rsidRPr="00013218">
        <w:rPr>
          <w:rFonts w:ascii="Arial" w:hAnsi="Arial" w:cs="Arial"/>
          <w:sz w:val="22"/>
          <w:szCs w:val="22"/>
        </w:rPr>
        <w:t xml:space="preserve"> </w:t>
      </w:r>
      <w:r w:rsidRPr="00013218">
        <w:rPr>
          <w:rFonts w:ascii="Arial" w:hAnsi="Arial" w:cs="Arial"/>
          <w:sz w:val="22"/>
          <w:szCs w:val="22"/>
        </w:rPr>
        <w:t>and disposable single-use reagent discs. Each reagent disc</w:t>
      </w:r>
      <w:r w:rsidR="002D7D1D" w:rsidRPr="00013218">
        <w:rPr>
          <w:rFonts w:ascii="Arial" w:hAnsi="Arial" w:cs="Arial"/>
          <w:sz w:val="22"/>
          <w:szCs w:val="22"/>
        </w:rPr>
        <w:t xml:space="preserve"> </w:t>
      </w:r>
      <w:r w:rsidRPr="00013218">
        <w:rPr>
          <w:rFonts w:ascii="Arial" w:hAnsi="Arial" w:cs="Arial"/>
          <w:sz w:val="22"/>
          <w:szCs w:val="22"/>
        </w:rPr>
        <w:t>contains all the reagents needed to perform a panel of tests on a</w:t>
      </w:r>
      <w:r w:rsidR="002D7D1D" w:rsidRPr="00013218">
        <w:rPr>
          <w:rFonts w:ascii="Arial" w:hAnsi="Arial" w:cs="Arial"/>
          <w:sz w:val="22"/>
          <w:szCs w:val="22"/>
        </w:rPr>
        <w:t xml:space="preserve"> </w:t>
      </w:r>
      <w:r w:rsidRPr="00013218">
        <w:rPr>
          <w:rFonts w:ascii="Arial" w:hAnsi="Arial" w:cs="Arial"/>
          <w:sz w:val="22"/>
          <w:szCs w:val="22"/>
        </w:rPr>
        <w:t>single sample.</w:t>
      </w:r>
      <w:r w:rsidR="00960861" w:rsidRPr="00013218">
        <w:rPr>
          <w:rFonts w:ascii="Arial" w:hAnsi="Arial" w:cs="Arial"/>
          <w:sz w:val="22"/>
          <w:szCs w:val="22"/>
        </w:rPr>
        <w:t xml:space="preserve"> The </w:t>
      </w:r>
      <w:r w:rsidR="001E5BCB" w:rsidRPr="00013218">
        <w:rPr>
          <w:rFonts w:ascii="Arial" w:hAnsi="Arial" w:cs="Arial"/>
          <w:sz w:val="22"/>
          <w:szCs w:val="22"/>
        </w:rPr>
        <w:t>Scottish Organ Retrieval Team transports the analyser to the donor hospital</w:t>
      </w:r>
      <w:r w:rsidR="00960861" w:rsidRPr="00013218">
        <w:rPr>
          <w:rFonts w:ascii="Arial" w:hAnsi="Arial" w:cs="Arial"/>
          <w:sz w:val="22"/>
          <w:szCs w:val="22"/>
        </w:rPr>
        <w:t xml:space="preserve"> and the results are used to </w:t>
      </w:r>
      <w:proofErr w:type="spellStart"/>
      <w:r w:rsidR="00960861" w:rsidRPr="00013218">
        <w:rPr>
          <w:rFonts w:ascii="Arial" w:hAnsi="Arial" w:cs="Arial"/>
          <w:sz w:val="22"/>
          <w:szCs w:val="22"/>
        </w:rPr>
        <w:t>detemine</w:t>
      </w:r>
      <w:proofErr w:type="spellEnd"/>
      <w:r w:rsidR="00960861" w:rsidRPr="00013218">
        <w:rPr>
          <w:rFonts w:ascii="Arial" w:hAnsi="Arial" w:cs="Arial"/>
          <w:sz w:val="22"/>
          <w:szCs w:val="22"/>
        </w:rPr>
        <w:t xml:space="preserve"> the suitability of organs for transplant by analysing blood samples every 30 minutes during </w:t>
      </w:r>
      <w:proofErr w:type="spellStart"/>
      <w:r w:rsidR="00960861" w:rsidRPr="00013218">
        <w:rPr>
          <w:rFonts w:ascii="Arial" w:hAnsi="Arial" w:cs="Arial"/>
          <w:sz w:val="22"/>
          <w:szCs w:val="22"/>
        </w:rPr>
        <w:t>Normothermic</w:t>
      </w:r>
      <w:proofErr w:type="spellEnd"/>
      <w:r w:rsidR="00960861" w:rsidRPr="00013218">
        <w:rPr>
          <w:rFonts w:ascii="Arial" w:hAnsi="Arial" w:cs="Arial"/>
          <w:sz w:val="22"/>
          <w:szCs w:val="22"/>
        </w:rPr>
        <w:t xml:space="preserve"> Regional Perfusion.</w:t>
      </w:r>
    </w:p>
    <w:p w:rsidR="001446F2" w:rsidRDefault="001446F2" w:rsidP="001446F2"/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2D7D1D">
      <w:pPr>
        <w:pStyle w:val="Heading1"/>
        <w:numPr>
          <w:ilvl w:val="0"/>
          <w:numId w:val="35"/>
        </w:numPr>
        <w:rPr>
          <w:bCs/>
          <w:caps/>
        </w:rPr>
      </w:pPr>
      <w:bookmarkStart w:id="39" w:name="_Toc481678983"/>
      <w:r w:rsidRPr="00415F6F">
        <w:rPr>
          <w:bCs/>
          <w:caps/>
        </w:rPr>
        <w:t>Principle and method of the procedure used for examinations</w:t>
      </w:r>
      <w:bookmarkEnd w:id="39"/>
    </w:p>
    <w:p w:rsidR="002D7D1D" w:rsidRPr="00013218" w:rsidRDefault="002D7D1D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 xml:space="preserve">The operator introduces a </w:t>
      </w:r>
      <w:proofErr w:type="spellStart"/>
      <w:r w:rsidRPr="00013218">
        <w:rPr>
          <w:rFonts w:ascii="Arial" w:hAnsi="Arial" w:cs="Arial"/>
          <w:sz w:val="22"/>
          <w:szCs w:val="22"/>
        </w:rPr>
        <w:t>heparinized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whole blood sample (or </w:t>
      </w:r>
      <w:proofErr w:type="spellStart"/>
      <w:r w:rsidRPr="00013218">
        <w:rPr>
          <w:rFonts w:ascii="Arial" w:hAnsi="Arial" w:cs="Arial"/>
          <w:sz w:val="22"/>
          <w:szCs w:val="22"/>
        </w:rPr>
        <w:t>heparinized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plasma, serum, or control) into the reagent disc. The reagent disc contains a </w:t>
      </w:r>
      <w:proofErr w:type="spellStart"/>
      <w:r w:rsidRPr="00013218">
        <w:rPr>
          <w:rFonts w:ascii="Arial" w:hAnsi="Arial" w:cs="Arial"/>
          <w:sz w:val="22"/>
          <w:szCs w:val="22"/>
        </w:rPr>
        <w:t>diluent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and test-specific reagent beads.</w:t>
      </w:r>
    </w:p>
    <w:p w:rsidR="002D7D1D" w:rsidRPr="00013218" w:rsidRDefault="002D7D1D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>The operator then places the disc in the Piccolo Xpress chemistry analyser and enters the appropriate identification numbers.</w:t>
      </w:r>
    </w:p>
    <w:p w:rsidR="002D7D1D" w:rsidRPr="00013218" w:rsidRDefault="002D7D1D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>The analyzer automatically performs the remainder of the testing protocol.</w:t>
      </w:r>
    </w:p>
    <w:p w:rsidR="002D7D1D" w:rsidRPr="00013218" w:rsidRDefault="002D7D1D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>The reagent disc spins and whole blood is separated into plasma and blood cells. During this time, the disc is heated to 37 º</w:t>
      </w:r>
      <w:r w:rsidR="00960861" w:rsidRPr="00013218">
        <w:rPr>
          <w:rFonts w:ascii="Arial" w:hAnsi="Arial" w:cs="Arial"/>
          <w:sz w:val="22"/>
          <w:szCs w:val="22"/>
        </w:rPr>
        <w:t>C (</w:t>
      </w:r>
      <w:r w:rsidRPr="00013218">
        <w:rPr>
          <w:rFonts w:ascii="Arial" w:hAnsi="Arial" w:cs="Arial"/>
          <w:sz w:val="22"/>
          <w:szCs w:val="22"/>
        </w:rPr>
        <w:t xml:space="preserve">98.6 ºF). Precisely measured quantities of plasma and </w:t>
      </w:r>
      <w:proofErr w:type="spellStart"/>
      <w:r w:rsidRPr="00013218">
        <w:rPr>
          <w:rFonts w:ascii="Arial" w:hAnsi="Arial" w:cs="Arial"/>
          <w:sz w:val="22"/>
          <w:szCs w:val="22"/>
        </w:rPr>
        <w:t>diluent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enter the mixing chamber and are mixed together. Through centrifugal and capillary forces, the diluted plasma is distributed to </w:t>
      </w:r>
      <w:proofErr w:type="spellStart"/>
      <w:r w:rsidRPr="00013218">
        <w:rPr>
          <w:rFonts w:ascii="Arial" w:hAnsi="Arial" w:cs="Arial"/>
          <w:sz w:val="22"/>
          <w:szCs w:val="22"/>
        </w:rPr>
        <w:t>cuvettes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on the perimeter of the disc. Reagent beads in the </w:t>
      </w:r>
      <w:proofErr w:type="spellStart"/>
      <w:r w:rsidRPr="00013218">
        <w:rPr>
          <w:rFonts w:ascii="Arial" w:hAnsi="Arial" w:cs="Arial"/>
          <w:sz w:val="22"/>
          <w:szCs w:val="22"/>
        </w:rPr>
        <w:t>cuvettes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are dissolved by the diluted plasma. This solution is thoroughly mixed and the resulting chemical reactions are monitored </w:t>
      </w:r>
      <w:proofErr w:type="spellStart"/>
      <w:r w:rsidRPr="00013218">
        <w:rPr>
          <w:rFonts w:ascii="Arial" w:hAnsi="Arial" w:cs="Arial"/>
          <w:sz w:val="22"/>
          <w:szCs w:val="22"/>
        </w:rPr>
        <w:t>photometrically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by the analyser. Optical signals generated by the chemical reactions are used to calculate </w:t>
      </w:r>
      <w:proofErr w:type="spellStart"/>
      <w:r w:rsidRPr="00013218">
        <w:rPr>
          <w:rFonts w:ascii="Arial" w:hAnsi="Arial" w:cs="Arial"/>
          <w:sz w:val="22"/>
          <w:szCs w:val="22"/>
        </w:rPr>
        <w:t>analyte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concentrations. Calibration data specific for the chemistries in each disc are provided to the analyzer by the bar code printed on the barcode ring</w:t>
      </w:r>
    </w:p>
    <w:p w:rsidR="00637463" w:rsidRDefault="00637463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7463" w:rsidRPr="00013218" w:rsidRDefault="00637463" w:rsidP="0063746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13218">
        <w:rPr>
          <w:rFonts w:ascii="Arial" w:hAnsi="Arial" w:cs="Arial"/>
          <w:sz w:val="22"/>
          <w:szCs w:val="22"/>
        </w:rPr>
        <w:t>Alanine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218">
        <w:rPr>
          <w:rFonts w:ascii="Arial" w:hAnsi="Arial" w:cs="Arial"/>
          <w:sz w:val="22"/>
          <w:szCs w:val="22"/>
        </w:rPr>
        <w:t>Aminotransferase</w:t>
      </w:r>
      <w:proofErr w:type="spellEnd"/>
      <w:r w:rsidR="00753A15" w:rsidRPr="00013218">
        <w:rPr>
          <w:rFonts w:ascii="Arial" w:hAnsi="Arial" w:cs="Arial"/>
          <w:sz w:val="22"/>
          <w:szCs w:val="22"/>
        </w:rPr>
        <w:t xml:space="preserve"> (ALT)</w:t>
      </w:r>
    </w:p>
    <w:p w:rsidR="00637463" w:rsidRDefault="00637463" w:rsidP="0063746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ALT catalyses the transfer of an amino group from L-</w:t>
      </w:r>
      <w:proofErr w:type="spellStart"/>
      <w:r>
        <w:rPr>
          <w:rFonts w:ascii="Arial" w:hAnsi="Arial" w:cs="Arial"/>
          <w:sz w:val="20"/>
          <w:szCs w:val="20"/>
        </w:rPr>
        <w:t>alanine</w:t>
      </w:r>
      <w:proofErr w:type="spellEnd"/>
      <w:r>
        <w:rPr>
          <w:rFonts w:ascii="Arial" w:hAnsi="Arial" w:cs="Arial"/>
          <w:sz w:val="20"/>
          <w:szCs w:val="20"/>
        </w:rPr>
        <w:t xml:space="preserve"> to α-</w:t>
      </w:r>
      <w:proofErr w:type="spellStart"/>
      <w:r>
        <w:rPr>
          <w:rFonts w:ascii="Arial" w:hAnsi="Arial" w:cs="Arial"/>
          <w:sz w:val="20"/>
          <w:szCs w:val="20"/>
        </w:rPr>
        <w:t>ketoglutarate</w:t>
      </w:r>
      <w:proofErr w:type="spellEnd"/>
      <w:r>
        <w:rPr>
          <w:rFonts w:ascii="Arial" w:hAnsi="Arial" w:cs="Arial"/>
          <w:sz w:val="20"/>
          <w:szCs w:val="20"/>
        </w:rPr>
        <w:t xml:space="preserve"> to form L-glutamate and </w:t>
      </w:r>
      <w:proofErr w:type="spellStart"/>
      <w:r>
        <w:rPr>
          <w:rFonts w:ascii="Arial" w:hAnsi="Arial" w:cs="Arial"/>
          <w:sz w:val="20"/>
          <w:szCs w:val="20"/>
        </w:rPr>
        <w:t>pyruvate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Lactate </w:t>
      </w:r>
      <w:proofErr w:type="spellStart"/>
      <w:r>
        <w:rPr>
          <w:rFonts w:ascii="Arial" w:hAnsi="Arial" w:cs="Arial"/>
          <w:sz w:val="20"/>
          <w:szCs w:val="20"/>
        </w:rPr>
        <w:t>dehydrogenase</w:t>
      </w:r>
      <w:proofErr w:type="spellEnd"/>
      <w:r>
        <w:rPr>
          <w:rFonts w:ascii="Arial" w:hAnsi="Arial" w:cs="Arial"/>
          <w:sz w:val="20"/>
          <w:szCs w:val="20"/>
        </w:rPr>
        <w:t xml:space="preserve"> catalyses the conversion of </w:t>
      </w:r>
      <w:proofErr w:type="spellStart"/>
      <w:r>
        <w:rPr>
          <w:rFonts w:ascii="Arial" w:hAnsi="Arial" w:cs="Arial"/>
          <w:sz w:val="20"/>
          <w:szCs w:val="20"/>
        </w:rPr>
        <w:t>pyruvate</w:t>
      </w:r>
      <w:proofErr w:type="spellEnd"/>
      <w:r>
        <w:rPr>
          <w:rFonts w:ascii="Arial" w:hAnsi="Arial" w:cs="Arial"/>
          <w:sz w:val="20"/>
          <w:szCs w:val="20"/>
        </w:rPr>
        <w:t xml:space="preserve"> to lactate. Concomitantly </w:t>
      </w:r>
      <w:r w:rsidR="00C53EAD">
        <w:rPr>
          <w:rFonts w:ascii="Arial" w:hAnsi="Arial" w:cs="Arial"/>
          <w:sz w:val="20"/>
          <w:szCs w:val="20"/>
        </w:rPr>
        <w:t>NADH is oxidised to NAD+</w:t>
      </w:r>
    </w:p>
    <w:p w:rsidR="00C53EAD" w:rsidRDefault="00C53EAD" w:rsidP="0063746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C53EAD" w:rsidRDefault="00C53EAD" w:rsidP="0063746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</w:t>
      </w:r>
      <w:proofErr w:type="spellStart"/>
      <w:r>
        <w:rPr>
          <w:rFonts w:ascii="Arial" w:hAnsi="Arial" w:cs="Arial"/>
          <w:sz w:val="20"/>
          <w:szCs w:val="20"/>
        </w:rPr>
        <w:t>Alanine</w:t>
      </w:r>
      <w:proofErr w:type="spellEnd"/>
      <w:r>
        <w:rPr>
          <w:rFonts w:ascii="Arial" w:hAnsi="Arial" w:cs="Arial"/>
          <w:sz w:val="20"/>
          <w:szCs w:val="20"/>
        </w:rPr>
        <w:t xml:space="preserve"> + α-</w:t>
      </w:r>
      <w:proofErr w:type="spellStart"/>
      <w:r>
        <w:rPr>
          <w:rFonts w:ascii="Arial" w:hAnsi="Arial" w:cs="Arial"/>
          <w:sz w:val="20"/>
          <w:szCs w:val="20"/>
        </w:rPr>
        <w:t>ketoglutarate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53EAD">
        <w:rPr>
          <w:rFonts w:ascii="Arial" w:hAnsi="Arial" w:cs="Arial"/>
          <w:sz w:val="40"/>
          <w:szCs w:val="40"/>
        </w:rPr>
        <w:t>→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L-Glutamate + </w:t>
      </w:r>
      <w:proofErr w:type="spellStart"/>
      <w:r>
        <w:rPr>
          <w:rFonts w:ascii="Arial" w:hAnsi="Arial" w:cs="Arial"/>
          <w:sz w:val="20"/>
          <w:szCs w:val="20"/>
        </w:rPr>
        <w:t>Pyruvate</w:t>
      </w:r>
      <w:proofErr w:type="spellEnd"/>
    </w:p>
    <w:p w:rsidR="00C53EAD" w:rsidRDefault="00C53EAD" w:rsidP="0063746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Pyruvate</w:t>
      </w:r>
      <w:proofErr w:type="spellEnd"/>
      <w:r>
        <w:rPr>
          <w:rFonts w:ascii="Arial" w:hAnsi="Arial" w:cs="Arial"/>
          <w:sz w:val="20"/>
          <w:szCs w:val="20"/>
        </w:rPr>
        <w:t xml:space="preserve"> + NADH + H+ </w:t>
      </w:r>
      <w:r w:rsidRPr="00C53EAD">
        <w:rPr>
          <w:rFonts w:ascii="Arial" w:hAnsi="Arial" w:cs="Arial"/>
          <w:sz w:val="36"/>
          <w:szCs w:val="36"/>
        </w:rPr>
        <w:t>→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Lactate + NAD+</w:t>
      </w:r>
    </w:p>
    <w:p w:rsidR="00C53EAD" w:rsidRDefault="00C53EAD" w:rsidP="0063746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rate </w:t>
      </w:r>
      <w:r w:rsidR="00824C8B">
        <w:rPr>
          <w:rFonts w:ascii="Arial" w:hAnsi="Arial" w:cs="Arial"/>
          <w:sz w:val="20"/>
          <w:szCs w:val="20"/>
        </w:rPr>
        <w:t xml:space="preserve">of change </w:t>
      </w:r>
      <w:r>
        <w:rPr>
          <w:rFonts w:ascii="Arial" w:hAnsi="Arial" w:cs="Arial"/>
          <w:sz w:val="20"/>
          <w:szCs w:val="20"/>
        </w:rPr>
        <w:t xml:space="preserve">of the absorbance </w:t>
      </w:r>
      <w:r w:rsidR="00824C8B">
        <w:rPr>
          <w:rFonts w:ascii="Arial" w:hAnsi="Arial" w:cs="Arial"/>
          <w:sz w:val="20"/>
          <w:szCs w:val="20"/>
        </w:rPr>
        <w:t>difference between 340nm and 405nm is due to the conversion of NADH to NAD+ and is directly proportional to the amount of ALT present in the sample</w:t>
      </w:r>
    </w:p>
    <w:p w:rsidR="00824C8B" w:rsidRDefault="00824C8B" w:rsidP="0063746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24C8B" w:rsidRPr="00013218" w:rsidRDefault="00824C8B" w:rsidP="00824C8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>Albumin</w:t>
      </w:r>
    </w:p>
    <w:p w:rsid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Bromocresol</w:t>
      </w:r>
      <w:proofErr w:type="spellEnd"/>
      <w:r>
        <w:rPr>
          <w:rFonts w:ascii="Arial" w:hAnsi="Arial" w:cs="Arial"/>
          <w:sz w:val="20"/>
          <w:szCs w:val="20"/>
        </w:rPr>
        <w:t xml:space="preserve"> purple (BCP) when bound with albumin, changes colour from a yellow to blue colour. The absorbance maximum changes with the colour shift.</w:t>
      </w:r>
    </w:p>
    <w:p w:rsid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BCP + Albumin </w:t>
      </w:r>
      <w:r w:rsidRPr="00824C8B">
        <w:rPr>
          <w:rFonts w:ascii="Arial" w:hAnsi="Arial" w:cs="Arial"/>
          <w:sz w:val="32"/>
          <w:szCs w:val="32"/>
        </w:rPr>
        <w:t>→</w:t>
      </w:r>
      <w:r>
        <w:rPr>
          <w:rFonts w:ascii="Arial" w:hAnsi="Arial" w:cs="Arial"/>
          <w:sz w:val="32"/>
          <w:szCs w:val="32"/>
        </w:rPr>
        <w:t xml:space="preserve"> </w:t>
      </w:r>
      <w:r w:rsidRPr="00824C8B">
        <w:rPr>
          <w:rFonts w:ascii="Arial" w:hAnsi="Arial" w:cs="Arial"/>
          <w:sz w:val="20"/>
          <w:szCs w:val="20"/>
        </w:rPr>
        <w:t>BCP-Albumin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Complex</w:t>
      </w:r>
    </w:p>
    <w:p w:rsid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24C8B" w:rsidRP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Bound albumin is proportional to the concentration of albumin in the sample. This is an endpoint reaction that is measured as absorbance at 600nm.</w:t>
      </w:r>
    </w:p>
    <w:p w:rsid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24C8B" w:rsidRPr="00013218" w:rsidRDefault="00753A15" w:rsidP="00824C8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 xml:space="preserve">Alkaline </w:t>
      </w:r>
      <w:proofErr w:type="spellStart"/>
      <w:r w:rsidRPr="00013218">
        <w:rPr>
          <w:rFonts w:ascii="Arial" w:hAnsi="Arial" w:cs="Arial"/>
          <w:sz w:val="22"/>
          <w:szCs w:val="22"/>
        </w:rPr>
        <w:t>Phosphatase</w:t>
      </w:r>
      <w:proofErr w:type="spellEnd"/>
      <w:r w:rsidRPr="00013218">
        <w:rPr>
          <w:rFonts w:ascii="Arial" w:hAnsi="Arial" w:cs="Arial"/>
          <w:sz w:val="22"/>
          <w:szCs w:val="22"/>
        </w:rPr>
        <w:t xml:space="preserve"> (ALP)</w:t>
      </w:r>
    </w:p>
    <w:p w:rsidR="00753A15" w:rsidRDefault="00753A15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Alkaline </w:t>
      </w:r>
      <w:proofErr w:type="spellStart"/>
      <w:r>
        <w:rPr>
          <w:rFonts w:ascii="Arial" w:hAnsi="Arial" w:cs="Arial"/>
          <w:sz w:val="20"/>
          <w:szCs w:val="20"/>
        </w:rPr>
        <w:t>phosphatase</w:t>
      </w:r>
      <w:proofErr w:type="spellEnd"/>
      <w:r>
        <w:rPr>
          <w:rFonts w:ascii="Arial" w:hAnsi="Arial" w:cs="Arial"/>
          <w:sz w:val="20"/>
          <w:szCs w:val="20"/>
        </w:rPr>
        <w:t xml:space="preserve"> hydrolyses </w:t>
      </w:r>
      <w:r>
        <w:rPr>
          <w:rFonts w:ascii="Arial" w:hAnsi="Arial" w:cs="Arial"/>
          <w:i/>
          <w:sz w:val="20"/>
          <w:szCs w:val="20"/>
        </w:rPr>
        <w:t>p-</w:t>
      </w:r>
      <w:proofErr w:type="spellStart"/>
      <w:r>
        <w:rPr>
          <w:rFonts w:ascii="Arial" w:hAnsi="Arial" w:cs="Arial"/>
          <w:sz w:val="20"/>
          <w:szCs w:val="20"/>
        </w:rPr>
        <w:t>Nitrophenyl</w:t>
      </w:r>
      <w:proofErr w:type="spellEnd"/>
      <w:r>
        <w:rPr>
          <w:rFonts w:ascii="Arial" w:hAnsi="Arial" w:cs="Arial"/>
          <w:sz w:val="20"/>
          <w:szCs w:val="20"/>
        </w:rPr>
        <w:t xml:space="preserve"> phosphate in a metal – ion buffer and forms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nitrophenol</w:t>
      </w:r>
      <w:proofErr w:type="spellEnd"/>
      <w:r>
        <w:rPr>
          <w:rFonts w:ascii="Arial" w:hAnsi="Arial" w:cs="Arial"/>
          <w:sz w:val="20"/>
          <w:szCs w:val="20"/>
        </w:rPr>
        <w:t xml:space="preserve"> and phosphate</w:t>
      </w:r>
    </w:p>
    <w:p w:rsidR="00753A15" w:rsidRDefault="00753A15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753A15" w:rsidRDefault="00753A15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p-</w:t>
      </w:r>
      <w:proofErr w:type="spellStart"/>
      <w:r>
        <w:rPr>
          <w:rFonts w:ascii="Arial" w:hAnsi="Arial" w:cs="Arial"/>
          <w:sz w:val="20"/>
          <w:szCs w:val="20"/>
        </w:rPr>
        <w:t>Nitrophenyl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Phosphate → </w:t>
      </w:r>
      <w:r>
        <w:rPr>
          <w:rFonts w:ascii="Arial" w:hAnsi="Arial" w:cs="Arial"/>
          <w:i/>
          <w:sz w:val="20"/>
          <w:szCs w:val="20"/>
        </w:rPr>
        <w:t>p-</w:t>
      </w:r>
      <w:proofErr w:type="spellStart"/>
      <w:r>
        <w:rPr>
          <w:rFonts w:ascii="Arial" w:hAnsi="Arial" w:cs="Arial"/>
          <w:sz w:val="20"/>
          <w:szCs w:val="20"/>
        </w:rPr>
        <w:t>Nitrophenol</w:t>
      </w:r>
      <w:proofErr w:type="spellEnd"/>
      <w:r>
        <w:rPr>
          <w:rFonts w:ascii="Arial" w:hAnsi="Arial" w:cs="Arial"/>
          <w:sz w:val="20"/>
          <w:szCs w:val="20"/>
        </w:rPr>
        <w:t xml:space="preserve"> + phosphate</w:t>
      </w:r>
    </w:p>
    <w:p w:rsidR="00753A15" w:rsidRPr="00753A15" w:rsidRDefault="00753A15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amount of ALP in the sample is proportional to the rate of increase in absorbance between 405nm and 500nm</w:t>
      </w:r>
    </w:p>
    <w:p w:rsidR="00824C8B" w:rsidRDefault="00824C8B" w:rsidP="00824C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753A15" w:rsidRPr="00013218" w:rsidRDefault="00753A15" w:rsidP="00753A1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3218">
        <w:rPr>
          <w:rFonts w:ascii="Arial" w:hAnsi="Arial" w:cs="Arial"/>
          <w:sz w:val="22"/>
          <w:szCs w:val="22"/>
        </w:rPr>
        <w:t>Amylase (AMY)</w:t>
      </w:r>
    </w:p>
    <w:p w:rsidR="00753A15" w:rsidRDefault="000D29B1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substrate, 2-chloro-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-nitrophenly-α-D-maltotrioside (CNPG3), reacts with α-amylase in the patient sample, releasing 2-chloro-</w:t>
      </w:r>
      <w:r>
        <w:rPr>
          <w:rFonts w:ascii="Arial" w:hAnsi="Arial" w:cs="Arial"/>
          <w:i/>
          <w:sz w:val="20"/>
          <w:szCs w:val="20"/>
        </w:rPr>
        <w:t>p-</w:t>
      </w:r>
      <w:r>
        <w:rPr>
          <w:rFonts w:ascii="Arial" w:hAnsi="Arial" w:cs="Arial"/>
          <w:sz w:val="20"/>
          <w:szCs w:val="20"/>
        </w:rPr>
        <w:t>nitrophenol (CNP). The release of CNP creates a change in colour.</w:t>
      </w:r>
    </w:p>
    <w:p w:rsidR="000D29B1" w:rsidRDefault="000D29B1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0D29B1" w:rsidRDefault="000D29B1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CNPG3 → CNP + D- </w:t>
      </w:r>
      <w:proofErr w:type="spellStart"/>
      <w:r>
        <w:rPr>
          <w:rFonts w:ascii="Arial" w:hAnsi="Arial" w:cs="Arial"/>
          <w:sz w:val="20"/>
          <w:szCs w:val="20"/>
        </w:rPr>
        <w:t>Maltotrioside</w:t>
      </w:r>
      <w:proofErr w:type="spellEnd"/>
    </w:p>
    <w:p w:rsidR="000D29B1" w:rsidRDefault="000D29B1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0D29B1" w:rsidRPr="000D29B1" w:rsidRDefault="000D29B1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reaction is measured </w:t>
      </w:r>
      <w:proofErr w:type="spellStart"/>
      <w:r>
        <w:rPr>
          <w:rFonts w:ascii="Arial" w:hAnsi="Arial" w:cs="Arial"/>
          <w:sz w:val="20"/>
          <w:szCs w:val="20"/>
        </w:rPr>
        <w:t>bichromatically</w:t>
      </w:r>
      <w:proofErr w:type="spellEnd"/>
      <w:r>
        <w:rPr>
          <w:rFonts w:ascii="Arial" w:hAnsi="Arial" w:cs="Arial"/>
          <w:sz w:val="20"/>
          <w:szCs w:val="20"/>
        </w:rPr>
        <w:t xml:space="preserve"> at 405nm and 500nm. The change in absorbance due to the formation of CNP is directly proportional to α-amylase activity in the sample</w:t>
      </w:r>
    </w:p>
    <w:p w:rsidR="000D29B1" w:rsidRDefault="000D29B1" w:rsidP="00753A1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0D29B1" w:rsidRPr="00ED4556" w:rsidRDefault="00A20EF1" w:rsidP="000D29B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556">
        <w:rPr>
          <w:rFonts w:ascii="Arial" w:hAnsi="Arial" w:cs="Arial"/>
          <w:noProof/>
          <w:sz w:val="22"/>
          <w:szCs w:val="22"/>
          <w:lang w:eastAsia="en-GB"/>
        </w:rPr>
        <w:t>Aspartate Aminotransferase (AST)</w:t>
      </w:r>
    </w:p>
    <w:p w:rsidR="00BB56D0" w:rsidRDefault="00BB56D0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AST catalyses the reaction of L-</w:t>
      </w:r>
      <w:proofErr w:type="spellStart"/>
      <w:r>
        <w:rPr>
          <w:rFonts w:ascii="Arial" w:hAnsi="Arial" w:cs="Arial"/>
          <w:sz w:val="20"/>
          <w:szCs w:val="20"/>
        </w:rPr>
        <w:t>aspartate</w:t>
      </w:r>
      <w:proofErr w:type="spellEnd"/>
      <w:r>
        <w:rPr>
          <w:rFonts w:ascii="Arial" w:hAnsi="Arial" w:cs="Arial"/>
          <w:sz w:val="20"/>
          <w:szCs w:val="20"/>
        </w:rPr>
        <w:t xml:space="preserve"> and α-</w:t>
      </w:r>
      <w:proofErr w:type="spellStart"/>
      <w:r>
        <w:rPr>
          <w:rFonts w:ascii="Arial" w:hAnsi="Arial" w:cs="Arial"/>
          <w:sz w:val="20"/>
          <w:szCs w:val="20"/>
        </w:rPr>
        <w:t>ketoglutarate</w:t>
      </w:r>
      <w:proofErr w:type="spellEnd"/>
      <w:r>
        <w:rPr>
          <w:rFonts w:ascii="Arial" w:hAnsi="Arial" w:cs="Arial"/>
          <w:sz w:val="20"/>
          <w:szCs w:val="20"/>
        </w:rPr>
        <w:t xml:space="preserve"> into </w:t>
      </w:r>
      <w:proofErr w:type="spellStart"/>
      <w:r>
        <w:rPr>
          <w:rFonts w:ascii="Arial" w:hAnsi="Arial" w:cs="Arial"/>
          <w:sz w:val="20"/>
          <w:szCs w:val="20"/>
        </w:rPr>
        <w:t>oxaloacetate</w:t>
      </w:r>
      <w:proofErr w:type="spellEnd"/>
      <w:r>
        <w:rPr>
          <w:rFonts w:ascii="Arial" w:hAnsi="Arial" w:cs="Arial"/>
          <w:sz w:val="20"/>
          <w:szCs w:val="20"/>
        </w:rPr>
        <w:t xml:space="preserve"> and L-glutamate.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Oxaloacetate</w:t>
      </w:r>
      <w:proofErr w:type="spellEnd"/>
      <w:r>
        <w:rPr>
          <w:rFonts w:ascii="Arial" w:hAnsi="Arial" w:cs="Arial"/>
          <w:sz w:val="20"/>
          <w:szCs w:val="20"/>
        </w:rPr>
        <w:t xml:space="preserve"> is converted to </w:t>
      </w:r>
      <w:proofErr w:type="spellStart"/>
      <w:r>
        <w:rPr>
          <w:rFonts w:ascii="Arial" w:hAnsi="Arial" w:cs="Arial"/>
          <w:sz w:val="20"/>
          <w:szCs w:val="20"/>
        </w:rPr>
        <w:t>malate</w:t>
      </w:r>
      <w:proofErr w:type="spellEnd"/>
      <w:r>
        <w:rPr>
          <w:rFonts w:ascii="Arial" w:hAnsi="Arial" w:cs="Arial"/>
          <w:sz w:val="20"/>
          <w:szCs w:val="20"/>
        </w:rPr>
        <w:t xml:space="preserve"> and NADH is oxidised to NAD+ by the catalyst MDH</w:t>
      </w:r>
    </w:p>
    <w:p w:rsidR="00BB56D0" w:rsidRDefault="00BB56D0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BB56D0" w:rsidRDefault="00BB56D0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L-</w:t>
      </w:r>
      <w:proofErr w:type="spellStart"/>
      <w:r>
        <w:rPr>
          <w:rFonts w:ascii="Arial" w:hAnsi="Arial" w:cs="Arial"/>
          <w:sz w:val="20"/>
          <w:szCs w:val="20"/>
        </w:rPr>
        <w:t>aspartate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r w:rsidR="00F0713B">
        <w:rPr>
          <w:rFonts w:ascii="Arial" w:hAnsi="Arial" w:cs="Arial"/>
          <w:sz w:val="20"/>
          <w:szCs w:val="20"/>
        </w:rPr>
        <w:t>α-</w:t>
      </w:r>
      <w:proofErr w:type="spellStart"/>
      <w:r w:rsidR="00F0713B">
        <w:rPr>
          <w:rFonts w:ascii="Arial" w:hAnsi="Arial" w:cs="Arial"/>
          <w:sz w:val="20"/>
          <w:szCs w:val="20"/>
        </w:rPr>
        <w:t>ketoglutarate</w:t>
      </w:r>
      <w:proofErr w:type="spellEnd"/>
      <w:r w:rsidR="00F0713B">
        <w:rPr>
          <w:rFonts w:ascii="Arial" w:hAnsi="Arial" w:cs="Arial"/>
          <w:sz w:val="20"/>
          <w:szCs w:val="20"/>
        </w:rPr>
        <w:t xml:space="preserve"> → </w:t>
      </w:r>
      <w:proofErr w:type="spellStart"/>
      <w:r w:rsidR="00F0713B">
        <w:rPr>
          <w:rFonts w:ascii="Arial" w:hAnsi="Arial" w:cs="Arial"/>
          <w:sz w:val="20"/>
          <w:szCs w:val="20"/>
        </w:rPr>
        <w:t>Oxaloacetate</w:t>
      </w:r>
      <w:proofErr w:type="spellEnd"/>
      <w:r w:rsidR="00F0713B">
        <w:rPr>
          <w:rFonts w:ascii="Arial" w:hAnsi="Arial" w:cs="Arial"/>
          <w:sz w:val="20"/>
          <w:szCs w:val="20"/>
        </w:rPr>
        <w:t xml:space="preserve"> + L-glutamate</w:t>
      </w:r>
    </w:p>
    <w:p w:rsidR="00F0713B" w:rsidRDefault="00F0713B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F0713B" w:rsidRDefault="00F0713B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Oxaloacetate</w:t>
      </w:r>
      <w:proofErr w:type="spellEnd"/>
      <w:r>
        <w:rPr>
          <w:rFonts w:ascii="Arial" w:hAnsi="Arial" w:cs="Arial"/>
          <w:sz w:val="20"/>
          <w:szCs w:val="20"/>
        </w:rPr>
        <w:t xml:space="preserve"> + NADH + H+ → </w:t>
      </w:r>
      <w:proofErr w:type="spellStart"/>
      <w:r>
        <w:rPr>
          <w:rFonts w:ascii="Arial" w:hAnsi="Arial" w:cs="Arial"/>
          <w:sz w:val="20"/>
          <w:szCs w:val="20"/>
        </w:rPr>
        <w:t>Malate</w:t>
      </w:r>
      <w:proofErr w:type="spellEnd"/>
      <w:r>
        <w:rPr>
          <w:rFonts w:ascii="Arial" w:hAnsi="Arial" w:cs="Arial"/>
          <w:sz w:val="20"/>
          <w:szCs w:val="20"/>
        </w:rPr>
        <w:t xml:space="preserve"> + NAD+</w:t>
      </w:r>
    </w:p>
    <w:p w:rsidR="00F0713B" w:rsidRDefault="00F0713B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F0713B" w:rsidRDefault="00F0713B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 of absorbance change at 340nm / 405mn caused by the conversion of NADH to NAD+ is directly proportional to the amount of AST present in the sample</w:t>
      </w:r>
    </w:p>
    <w:p w:rsidR="00F0713B" w:rsidRDefault="00F0713B" w:rsidP="00BB56D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9E0FC7" w:rsidRDefault="009E0FC7" w:rsidP="00F0713B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9E0FC7" w:rsidRDefault="009E0FC7" w:rsidP="009E0FC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Calcium (Ca)</w:t>
      </w:r>
    </w:p>
    <w:p w:rsidR="009E0FC7" w:rsidRDefault="009E0FC7" w:rsidP="009E0FC7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Calcium in the patient sample binds with </w:t>
      </w:r>
      <w:proofErr w:type="spellStart"/>
      <w:r>
        <w:rPr>
          <w:rFonts w:ascii="Arial" w:hAnsi="Arial" w:cs="Arial"/>
        </w:rPr>
        <w:t>arsenaso</w:t>
      </w:r>
      <w:proofErr w:type="spellEnd"/>
      <w:r>
        <w:rPr>
          <w:rFonts w:ascii="Arial" w:hAnsi="Arial" w:cs="Arial"/>
        </w:rPr>
        <w:t xml:space="preserve"> 111 to form a calcium dye complex</w:t>
      </w:r>
    </w:p>
    <w:p w:rsidR="009E0FC7" w:rsidRDefault="009E0FC7" w:rsidP="009E0FC7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9E0FC7" w:rsidRDefault="009E0FC7" w:rsidP="009E0FC7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Ca + </w:t>
      </w:r>
      <w:proofErr w:type="spellStart"/>
      <w:r>
        <w:rPr>
          <w:rFonts w:ascii="Arial" w:hAnsi="Arial" w:cs="Arial"/>
        </w:rPr>
        <w:t>arsenazo</w:t>
      </w:r>
      <w:proofErr w:type="spellEnd"/>
      <w:r w:rsidR="00B239B8">
        <w:rPr>
          <w:rFonts w:ascii="Arial" w:hAnsi="Arial" w:cs="Arial"/>
        </w:rPr>
        <w:t xml:space="preserve"> 111 → Ca </w:t>
      </w:r>
      <w:proofErr w:type="spellStart"/>
      <w:r w:rsidR="00B239B8">
        <w:rPr>
          <w:rFonts w:ascii="Arial" w:hAnsi="Arial" w:cs="Arial"/>
        </w:rPr>
        <w:t>arsenazo</w:t>
      </w:r>
      <w:proofErr w:type="spellEnd"/>
      <w:r w:rsidR="00B239B8">
        <w:rPr>
          <w:rFonts w:ascii="Arial" w:hAnsi="Arial" w:cs="Arial"/>
        </w:rPr>
        <w:t xml:space="preserve"> 111 complex</w:t>
      </w:r>
    </w:p>
    <w:p w:rsidR="00B239B8" w:rsidRDefault="00B239B8" w:rsidP="009E0FC7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239B8" w:rsidRDefault="00B239B8" w:rsidP="009E0FC7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endpoint reaction is monitored at 405nm, 467nm and 600nm. The amount of calcium in the sample is proportional to the </w:t>
      </w:r>
      <w:proofErr w:type="spellStart"/>
      <w:r>
        <w:rPr>
          <w:rFonts w:ascii="Arial" w:hAnsi="Arial" w:cs="Arial"/>
        </w:rPr>
        <w:t>absorbence</w:t>
      </w:r>
      <w:proofErr w:type="spellEnd"/>
    </w:p>
    <w:p w:rsidR="00B239B8" w:rsidRDefault="00B239B8" w:rsidP="009E0FC7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239B8" w:rsidRPr="00B239B8" w:rsidRDefault="00B239B8" w:rsidP="00B239B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Creatinine</w:t>
      </w:r>
      <w:proofErr w:type="spellEnd"/>
      <w:r>
        <w:rPr>
          <w:rFonts w:ascii="Arial" w:hAnsi="Arial" w:cs="Arial"/>
        </w:rPr>
        <w:t xml:space="preserve"> (CRE)</w:t>
      </w:r>
    </w:p>
    <w:p w:rsidR="009E0FC7" w:rsidRDefault="002F1056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Creatinine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amidohydrolase</w:t>
      </w:r>
      <w:proofErr w:type="spellEnd"/>
      <w:r>
        <w:rPr>
          <w:rFonts w:ascii="Arial" w:hAnsi="Arial" w:cs="Arial"/>
        </w:rPr>
        <w:t xml:space="preserve"> hydrolyses </w:t>
      </w:r>
      <w:proofErr w:type="spellStart"/>
      <w:r>
        <w:rPr>
          <w:rFonts w:ascii="Arial" w:hAnsi="Arial" w:cs="Arial"/>
        </w:rPr>
        <w:t>creatinine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A second enzyme,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amidinohydrolsae</w:t>
      </w:r>
      <w:proofErr w:type="spellEnd"/>
      <w:r>
        <w:rPr>
          <w:rFonts w:ascii="Arial" w:hAnsi="Arial" w:cs="Arial"/>
        </w:rPr>
        <w:t xml:space="preserve">, catalyses the formation of </w:t>
      </w:r>
      <w:proofErr w:type="spellStart"/>
      <w:r>
        <w:rPr>
          <w:rFonts w:ascii="Arial" w:hAnsi="Arial" w:cs="Arial"/>
        </w:rPr>
        <w:t>sarcosine</w:t>
      </w:r>
      <w:proofErr w:type="spellEnd"/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Sarcosine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oxidase</w:t>
      </w:r>
      <w:proofErr w:type="spellEnd"/>
      <w:r>
        <w:rPr>
          <w:rFonts w:ascii="Arial" w:hAnsi="Arial" w:cs="Arial"/>
        </w:rPr>
        <w:t xml:space="preserve"> causes the oxidation of </w:t>
      </w:r>
      <w:proofErr w:type="spellStart"/>
      <w:r>
        <w:rPr>
          <w:rFonts w:ascii="Arial" w:hAnsi="Arial" w:cs="Arial"/>
        </w:rPr>
        <w:t>sarcosine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glycine</w:t>
      </w:r>
      <w:proofErr w:type="spellEnd"/>
      <w:r>
        <w:rPr>
          <w:rFonts w:ascii="Arial" w:hAnsi="Arial" w:cs="Arial"/>
        </w:rPr>
        <w:t xml:space="preserve">, formaldehyde and hydrogen peroxide (H2O2). </w:t>
      </w:r>
      <w:proofErr w:type="spellStart"/>
      <w:r w:rsidR="00F040CD">
        <w:rPr>
          <w:rFonts w:ascii="Arial" w:hAnsi="Arial" w:cs="Arial"/>
        </w:rPr>
        <w:t>Peroxidase</w:t>
      </w:r>
      <w:proofErr w:type="spellEnd"/>
      <w:r w:rsidR="00F040CD">
        <w:rPr>
          <w:rFonts w:ascii="Arial" w:hAnsi="Arial" w:cs="Arial"/>
        </w:rPr>
        <w:t xml:space="preserve"> catalyses the reaction among hydrogen peroxide, 2</w:t>
      </w:r>
      <w:proofErr w:type="gramStart"/>
      <w:r w:rsidR="00F040CD">
        <w:rPr>
          <w:rFonts w:ascii="Arial" w:hAnsi="Arial" w:cs="Arial"/>
        </w:rPr>
        <w:t>,4,6</w:t>
      </w:r>
      <w:proofErr w:type="gramEnd"/>
      <w:r w:rsidR="00F040CD">
        <w:rPr>
          <w:rFonts w:ascii="Arial" w:hAnsi="Arial" w:cs="Arial"/>
        </w:rPr>
        <w:t xml:space="preserve">-tribromo-3-hydroxybenzoic acid (TBHBA) and 4-aminoantipyrine (4-AAP) into a red </w:t>
      </w:r>
      <w:proofErr w:type="spellStart"/>
      <w:r w:rsidR="00F040CD">
        <w:rPr>
          <w:rFonts w:ascii="Arial" w:hAnsi="Arial" w:cs="Arial"/>
        </w:rPr>
        <w:t>quinoneimine</w:t>
      </w:r>
      <w:proofErr w:type="spellEnd"/>
      <w:r w:rsidR="00F040CD">
        <w:rPr>
          <w:rFonts w:ascii="Arial" w:hAnsi="Arial" w:cs="Arial"/>
        </w:rPr>
        <w:t xml:space="preserve"> dye. Sodium </w:t>
      </w:r>
      <w:proofErr w:type="spellStart"/>
      <w:r w:rsidR="00F040CD">
        <w:rPr>
          <w:rFonts w:ascii="Arial" w:hAnsi="Arial" w:cs="Arial"/>
        </w:rPr>
        <w:t>ferrocyanide</w:t>
      </w:r>
      <w:proofErr w:type="spellEnd"/>
      <w:r w:rsidR="00F040CD">
        <w:rPr>
          <w:rFonts w:ascii="Arial" w:hAnsi="Arial" w:cs="Arial"/>
        </w:rPr>
        <w:t xml:space="preserve"> and </w:t>
      </w:r>
      <w:proofErr w:type="spellStart"/>
      <w:r w:rsidR="00F040CD">
        <w:rPr>
          <w:rFonts w:ascii="Arial" w:hAnsi="Arial" w:cs="Arial"/>
        </w:rPr>
        <w:t>ascorbate</w:t>
      </w:r>
      <w:proofErr w:type="spellEnd"/>
      <w:r w:rsidR="00F040CD">
        <w:rPr>
          <w:rFonts w:ascii="Arial" w:hAnsi="Arial" w:cs="Arial"/>
        </w:rPr>
        <w:t xml:space="preserve"> </w:t>
      </w:r>
      <w:proofErr w:type="spellStart"/>
      <w:r w:rsidR="00F040CD">
        <w:rPr>
          <w:rFonts w:ascii="Arial" w:hAnsi="Arial" w:cs="Arial"/>
        </w:rPr>
        <w:t>oxidase</w:t>
      </w:r>
      <w:proofErr w:type="spellEnd"/>
      <w:r w:rsidR="00F040CD">
        <w:rPr>
          <w:rFonts w:ascii="Arial" w:hAnsi="Arial" w:cs="Arial"/>
        </w:rPr>
        <w:t xml:space="preserve"> are added to the reaction mixture to minimise the potential interference of </w:t>
      </w:r>
      <w:proofErr w:type="spellStart"/>
      <w:r w:rsidR="00F040CD">
        <w:rPr>
          <w:rFonts w:ascii="Arial" w:hAnsi="Arial" w:cs="Arial"/>
        </w:rPr>
        <w:t>bilirubin</w:t>
      </w:r>
      <w:proofErr w:type="spellEnd"/>
      <w:r w:rsidR="00F040CD">
        <w:rPr>
          <w:rFonts w:ascii="Arial" w:hAnsi="Arial" w:cs="Arial"/>
        </w:rPr>
        <w:t xml:space="preserve"> and ascorbic acid, respectively.</w:t>
      </w:r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Creatinine</w:t>
      </w:r>
      <w:proofErr w:type="spellEnd"/>
      <w:r>
        <w:rPr>
          <w:rFonts w:ascii="Arial" w:hAnsi="Arial" w:cs="Arial"/>
        </w:rPr>
        <w:t xml:space="preserve"> + H2O → </w:t>
      </w:r>
      <w:proofErr w:type="spellStart"/>
      <w:r>
        <w:rPr>
          <w:rFonts w:ascii="Arial" w:hAnsi="Arial" w:cs="Arial"/>
        </w:rPr>
        <w:t>Creatine</w:t>
      </w:r>
      <w:proofErr w:type="spellEnd"/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 + H2O → </w:t>
      </w:r>
      <w:proofErr w:type="spellStart"/>
      <w:r>
        <w:rPr>
          <w:rFonts w:ascii="Arial" w:hAnsi="Arial" w:cs="Arial"/>
        </w:rPr>
        <w:t>Sarcosine</w:t>
      </w:r>
      <w:proofErr w:type="spellEnd"/>
      <w:r>
        <w:rPr>
          <w:rFonts w:ascii="Arial" w:hAnsi="Arial" w:cs="Arial"/>
        </w:rPr>
        <w:t xml:space="preserve"> + Urea</w:t>
      </w:r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Sarcosine</w:t>
      </w:r>
      <w:proofErr w:type="spellEnd"/>
      <w:r>
        <w:rPr>
          <w:rFonts w:ascii="Arial" w:hAnsi="Arial" w:cs="Arial"/>
        </w:rPr>
        <w:t xml:space="preserve"> + H2O + O2 → </w:t>
      </w:r>
      <w:proofErr w:type="spellStart"/>
      <w:r>
        <w:rPr>
          <w:rFonts w:ascii="Arial" w:hAnsi="Arial" w:cs="Arial"/>
        </w:rPr>
        <w:t>Glycine</w:t>
      </w:r>
      <w:proofErr w:type="spellEnd"/>
      <w:r>
        <w:rPr>
          <w:rFonts w:ascii="Arial" w:hAnsi="Arial" w:cs="Arial"/>
        </w:rPr>
        <w:t xml:space="preserve"> + Formaldehyde + H2O2</w:t>
      </w:r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F040CD" w:rsidRDefault="00F040CD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H2O2 + TBHBA + 4-AAP → Red </w:t>
      </w:r>
      <w:proofErr w:type="spellStart"/>
      <w:r>
        <w:rPr>
          <w:rFonts w:ascii="Arial" w:hAnsi="Arial" w:cs="Arial"/>
        </w:rPr>
        <w:t>Q</w:t>
      </w:r>
      <w:r w:rsidR="00EA1531">
        <w:rPr>
          <w:rFonts w:ascii="Arial" w:hAnsi="Arial" w:cs="Arial"/>
        </w:rPr>
        <w:t>uinoneimine</w:t>
      </w:r>
      <w:proofErr w:type="spellEnd"/>
      <w:r w:rsidR="00EA1531">
        <w:rPr>
          <w:rFonts w:ascii="Arial" w:hAnsi="Arial" w:cs="Arial"/>
        </w:rPr>
        <w:t xml:space="preserve"> dye + H2O</w:t>
      </w:r>
    </w:p>
    <w:p w:rsidR="00EA1531" w:rsidRDefault="00EA1531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A1531" w:rsidRDefault="00EA1531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proofErr w:type="spellStart"/>
      <w:r>
        <w:rPr>
          <w:rFonts w:ascii="Arial" w:hAnsi="Arial" w:cs="Arial"/>
        </w:rPr>
        <w:t>cuvettes</w:t>
      </w:r>
      <w:proofErr w:type="spellEnd"/>
      <w:r>
        <w:rPr>
          <w:rFonts w:ascii="Arial" w:hAnsi="Arial" w:cs="Arial"/>
        </w:rPr>
        <w:t xml:space="preserve"> are used to determine the concentration of </w:t>
      </w:r>
      <w:proofErr w:type="spellStart"/>
      <w:r>
        <w:rPr>
          <w:rFonts w:ascii="Arial" w:hAnsi="Arial" w:cs="Arial"/>
        </w:rPr>
        <w:t>creatinine</w:t>
      </w:r>
      <w:proofErr w:type="spellEnd"/>
      <w:r>
        <w:rPr>
          <w:rFonts w:ascii="Arial" w:hAnsi="Arial" w:cs="Arial"/>
        </w:rPr>
        <w:t xml:space="preserve"> in the sample. Endogenous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 is measured in the blank </w:t>
      </w:r>
      <w:proofErr w:type="spellStart"/>
      <w:r>
        <w:rPr>
          <w:rFonts w:ascii="Arial" w:hAnsi="Arial" w:cs="Arial"/>
        </w:rPr>
        <w:t>cuvette</w:t>
      </w:r>
      <w:proofErr w:type="spellEnd"/>
      <w:r>
        <w:rPr>
          <w:rFonts w:ascii="Arial" w:hAnsi="Arial" w:cs="Arial"/>
        </w:rPr>
        <w:t xml:space="preserve"> which is subtracted from the combined endogenous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 and the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 formed from the enzyme reactions in the test </w:t>
      </w:r>
      <w:proofErr w:type="spellStart"/>
      <w:r>
        <w:rPr>
          <w:rFonts w:ascii="Arial" w:hAnsi="Arial" w:cs="Arial"/>
        </w:rPr>
        <w:t>cuvette</w:t>
      </w:r>
      <w:proofErr w:type="spellEnd"/>
      <w:r>
        <w:rPr>
          <w:rFonts w:ascii="Arial" w:hAnsi="Arial" w:cs="Arial"/>
        </w:rPr>
        <w:t xml:space="preserve">. Once the endogenous </w:t>
      </w:r>
      <w:proofErr w:type="spellStart"/>
      <w:r>
        <w:rPr>
          <w:rFonts w:ascii="Arial" w:hAnsi="Arial" w:cs="Arial"/>
        </w:rPr>
        <w:t>creatine</w:t>
      </w:r>
      <w:proofErr w:type="spellEnd"/>
      <w:r>
        <w:rPr>
          <w:rFonts w:ascii="Arial" w:hAnsi="Arial" w:cs="Arial"/>
        </w:rPr>
        <w:t xml:space="preserve"> is eliminated from the calculations, the concentration of </w:t>
      </w:r>
      <w:proofErr w:type="spellStart"/>
      <w:r>
        <w:rPr>
          <w:rFonts w:ascii="Arial" w:hAnsi="Arial" w:cs="Arial"/>
        </w:rPr>
        <w:t>creatinine</w:t>
      </w:r>
      <w:proofErr w:type="spellEnd"/>
      <w:r>
        <w:rPr>
          <w:rFonts w:ascii="Arial" w:hAnsi="Arial" w:cs="Arial"/>
        </w:rPr>
        <w:t xml:space="preserve"> is proportional to the intensity of the red colour produces. The endpoint reaction is measured as the difference in absorbance between 550nm and 600 nm.</w:t>
      </w:r>
    </w:p>
    <w:p w:rsidR="00EA1531" w:rsidRDefault="00EA1531" w:rsidP="002F1056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A1531" w:rsidRPr="00EA1531" w:rsidRDefault="00EA1531" w:rsidP="00EA153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Gamma </w:t>
      </w:r>
      <w:proofErr w:type="spellStart"/>
      <w:r>
        <w:rPr>
          <w:rFonts w:ascii="Arial" w:hAnsi="Arial" w:cs="Arial"/>
        </w:rPr>
        <w:t>Glutamyltransferase</w:t>
      </w:r>
      <w:proofErr w:type="spellEnd"/>
      <w:r>
        <w:rPr>
          <w:rFonts w:ascii="Arial" w:hAnsi="Arial" w:cs="Arial"/>
        </w:rPr>
        <w:t xml:space="preserve"> (GGT)</w:t>
      </w:r>
    </w:p>
    <w:p w:rsidR="009E0FC7" w:rsidRDefault="00EA1531" w:rsidP="00EA1531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addition of sample containing GGT to the substrates L-ˠ</w:t>
      </w:r>
      <w:r w:rsidR="00492048">
        <w:rPr>
          <w:rFonts w:ascii="Arial" w:hAnsi="Arial" w:cs="Arial"/>
        </w:rPr>
        <w:t xml:space="preserve">-glutamyl-3-carboxy-4-nitroaniline and </w:t>
      </w:r>
      <w:proofErr w:type="spellStart"/>
      <w:r w:rsidR="00492048">
        <w:rPr>
          <w:rFonts w:ascii="Arial" w:hAnsi="Arial" w:cs="Arial"/>
        </w:rPr>
        <w:t>glycylglycine</w:t>
      </w:r>
      <w:proofErr w:type="spellEnd"/>
      <w:r w:rsidR="00492048">
        <w:rPr>
          <w:rFonts w:ascii="Arial" w:hAnsi="Arial" w:cs="Arial"/>
        </w:rPr>
        <w:t xml:space="preserve"> (</w:t>
      </w:r>
      <w:proofErr w:type="spellStart"/>
      <w:r w:rsidR="00492048">
        <w:rPr>
          <w:rFonts w:ascii="Arial" w:hAnsi="Arial" w:cs="Arial"/>
        </w:rPr>
        <w:t>gly-gly</w:t>
      </w:r>
      <w:proofErr w:type="spellEnd"/>
      <w:r w:rsidR="00492048">
        <w:rPr>
          <w:rFonts w:ascii="Arial" w:hAnsi="Arial" w:cs="Arial"/>
        </w:rPr>
        <w:t>) causes the formation of L-ˠ-</w:t>
      </w:r>
      <w:proofErr w:type="spellStart"/>
      <w:r w:rsidR="00492048">
        <w:rPr>
          <w:rFonts w:ascii="Arial" w:hAnsi="Arial" w:cs="Arial"/>
        </w:rPr>
        <w:t>glutamyl-glycylglicine</w:t>
      </w:r>
      <w:proofErr w:type="spellEnd"/>
      <w:r w:rsidR="00492048">
        <w:rPr>
          <w:rFonts w:ascii="Arial" w:hAnsi="Arial" w:cs="Arial"/>
        </w:rPr>
        <w:t xml:space="preserve"> (</w:t>
      </w:r>
      <w:proofErr w:type="spellStart"/>
      <w:r w:rsidR="00492048">
        <w:rPr>
          <w:rFonts w:ascii="Arial" w:hAnsi="Arial" w:cs="Arial"/>
        </w:rPr>
        <w:t>glu-gly-gly</w:t>
      </w:r>
      <w:proofErr w:type="spellEnd"/>
      <w:r w:rsidR="00492048">
        <w:rPr>
          <w:rFonts w:ascii="Arial" w:hAnsi="Arial" w:cs="Arial"/>
        </w:rPr>
        <w:t>) and 3-carboxy-4-nitroaniline</w:t>
      </w:r>
    </w:p>
    <w:p w:rsidR="00492048" w:rsidRDefault="00492048" w:rsidP="00EA1531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492048" w:rsidRDefault="00492048" w:rsidP="00EA1531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L-ˠ-glutamyl-3-carboxy-4-nitroanilide + </w:t>
      </w:r>
      <w:proofErr w:type="spellStart"/>
      <w:r>
        <w:rPr>
          <w:rFonts w:ascii="Arial" w:hAnsi="Arial" w:cs="Arial"/>
        </w:rPr>
        <w:t>gly-gly</w:t>
      </w:r>
      <w:proofErr w:type="spellEnd"/>
      <w:r>
        <w:rPr>
          <w:rFonts w:ascii="Arial" w:hAnsi="Arial" w:cs="Arial"/>
        </w:rPr>
        <w:t xml:space="preserve"> → </w:t>
      </w:r>
      <w:proofErr w:type="spellStart"/>
      <w:r>
        <w:rPr>
          <w:rFonts w:ascii="Arial" w:hAnsi="Arial" w:cs="Arial"/>
        </w:rPr>
        <w:t>glu-gly-gly</w:t>
      </w:r>
      <w:proofErr w:type="spellEnd"/>
      <w:r>
        <w:rPr>
          <w:rFonts w:ascii="Arial" w:hAnsi="Arial" w:cs="Arial"/>
        </w:rPr>
        <w:t xml:space="preserve"> + 3-carboxy-4-nitroaniline</w:t>
      </w:r>
    </w:p>
    <w:p w:rsidR="00492048" w:rsidRDefault="00492048" w:rsidP="00EA1531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492048" w:rsidRDefault="00492048" w:rsidP="00EA1531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absorbance of this rate reaction is measured at 405nm. The production of 3-carboxy-4-nitroaniline is directly proportional to the GGT activity in the sample.</w:t>
      </w:r>
    </w:p>
    <w:p w:rsidR="00492048" w:rsidRDefault="00492048" w:rsidP="00EA1531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492048" w:rsidRDefault="00492048" w:rsidP="0049204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Glucose (GLU)</w:t>
      </w:r>
    </w:p>
    <w:p w:rsidR="00492048" w:rsidRDefault="00492048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reaction of glucose with adenosine </w:t>
      </w:r>
      <w:proofErr w:type="spellStart"/>
      <w:r>
        <w:rPr>
          <w:rFonts w:ascii="Arial" w:hAnsi="Arial" w:cs="Arial"/>
          <w:sz w:val="20"/>
          <w:szCs w:val="20"/>
        </w:rPr>
        <w:t>triphosphate</w:t>
      </w:r>
      <w:proofErr w:type="spellEnd"/>
      <w:r>
        <w:rPr>
          <w:rFonts w:ascii="Arial" w:hAnsi="Arial" w:cs="Arial"/>
          <w:sz w:val="20"/>
          <w:szCs w:val="20"/>
        </w:rPr>
        <w:t xml:space="preserve"> (ATP), catalysed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hexokinase</w:t>
      </w:r>
      <w:proofErr w:type="spellEnd"/>
      <w:r>
        <w:rPr>
          <w:rFonts w:ascii="Arial" w:hAnsi="Arial" w:cs="Arial"/>
          <w:sz w:val="20"/>
          <w:szCs w:val="20"/>
        </w:rPr>
        <w:t xml:space="preserve"> (HK) produces glucose-6-phosphate (G-6-P) and adeno</w:t>
      </w:r>
      <w:r w:rsidR="00A9550D">
        <w:rPr>
          <w:rFonts w:ascii="Arial" w:hAnsi="Arial" w:cs="Arial"/>
          <w:sz w:val="20"/>
          <w:szCs w:val="20"/>
        </w:rPr>
        <w:t xml:space="preserve">sine </w:t>
      </w:r>
      <w:proofErr w:type="spellStart"/>
      <w:r w:rsidR="00A9550D">
        <w:rPr>
          <w:rFonts w:ascii="Arial" w:hAnsi="Arial" w:cs="Arial"/>
          <w:sz w:val="20"/>
          <w:szCs w:val="20"/>
        </w:rPr>
        <w:t>diphosphate</w:t>
      </w:r>
      <w:proofErr w:type="spellEnd"/>
      <w:r w:rsidR="00A9550D">
        <w:rPr>
          <w:rFonts w:ascii="Arial" w:hAnsi="Arial" w:cs="Arial"/>
          <w:sz w:val="20"/>
          <w:szCs w:val="20"/>
        </w:rPr>
        <w:t xml:space="preserve"> (ADP). </w:t>
      </w:r>
      <w:proofErr w:type="gramStart"/>
      <w:r w:rsidR="00A9550D">
        <w:rPr>
          <w:rFonts w:ascii="Arial" w:hAnsi="Arial" w:cs="Arial"/>
          <w:sz w:val="20"/>
          <w:szCs w:val="20"/>
        </w:rPr>
        <w:t xml:space="preserve">Glucose-6-phosphate </w:t>
      </w:r>
      <w:proofErr w:type="spellStart"/>
      <w:r w:rsidR="00A9550D">
        <w:rPr>
          <w:rFonts w:ascii="Arial" w:hAnsi="Arial" w:cs="Arial"/>
          <w:sz w:val="20"/>
          <w:szCs w:val="20"/>
        </w:rPr>
        <w:t>dehydrogenase</w:t>
      </w:r>
      <w:proofErr w:type="spellEnd"/>
      <w:r w:rsidR="00A9550D">
        <w:rPr>
          <w:rFonts w:ascii="Arial" w:hAnsi="Arial" w:cs="Arial"/>
          <w:sz w:val="20"/>
          <w:szCs w:val="20"/>
        </w:rPr>
        <w:t xml:space="preserve"> (G-6-PDH) catalyses the reaction of 6-G-P into 6-phosphogluconate and the reduction of </w:t>
      </w:r>
      <w:proofErr w:type="spellStart"/>
      <w:r w:rsidR="00A9550D">
        <w:rPr>
          <w:rFonts w:ascii="Arial" w:hAnsi="Arial" w:cs="Arial"/>
          <w:sz w:val="20"/>
          <w:szCs w:val="20"/>
        </w:rPr>
        <w:t>nicotinamide</w:t>
      </w:r>
      <w:proofErr w:type="spellEnd"/>
      <w:r w:rsidR="00A9550D">
        <w:rPr>
          <w:rFonts w:ascii="Arial" w:hAnsi="Arial" w:cs="Arial"/>
          <w:sz w:val="20"/>
          <w:szCs w:val="20"/>
        </w:rPr>
        <w:t xml:space="preserve"> adenine </w:t>
      </w:r>
      <w:proofErr w:type="spellStart"/>
      <w:r w:rsidR="00A9550D">
        <w:rPr>
          <w:rFonts w:ascii="Arial" w:hAnsi="Arial" w:cs="Arial"/>
          <w:sz w:val="20"/>
          <w:szCs w:val="20"/>
        </w:rPr>
        <w:t>dinucleotide</w:t>
      </w:r>
      <w:proofErr w:type="spellEnd"/>
      <w:r w:rsidR="00A9550D">
        <w:rPr>
          <w:rFonts w:ascii="Arial" w:hAnsi="Arial" w:cs="Arial"/>
          <w:sz w:val="20"/>
          <w:szCs w:val="20"/>
        </w:rPr>
        <w:t xml:space="preserve"> (NAD+) to NADH.</w:t>
      </w:r>
      <w:proofErr w:type="gramEnd"/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Glucose + ATP → G-6-P + ADP</w:t>
      </w: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G-6-P + NAD+ → 6-phosphogluconate + NADH + H+</w:t>
      </w: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absorbance is measured </w:t>
      </w:r>
      <w:proofErr w:type="spellStart"/>
      <w:r>
        <w:rPr>
          <w:rFonts w:ascii="Arial" w:hAnsi="Arial" w:cs="Arial"/>
          <w:sz w:val="20"/>
          <w:szCs w:val="20"/>
        </w:rPr>
        <w:t>bichromatically</w:t>
      </w:r>
      <w:proofErr w:type="spellEnd"/>
      <w:r>
        <w:rPr>
          <w:rFonts w:ascii="Arial" w:hAnsi="Arial" w:cs="Arial"/>
          <w:sz w:val="20"/>
          <w:szCs w:val="20"/>
        </w:rPr>
        <w:t xml:space="preserve"> at 340nm and 850nm. The production of NADH is directly proportional to the amount of glucose present in the sample.</w:t>
      </w:r>
    </w:p>
    <w:p w:rsidR="00884E32" w:rsidRDefault="00884E32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84E32" w:rsidRDefault="00884E32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84E32" w:rsidRPr="00884E32" w:rsidRDefault="00884E32" w:rsidP="00884E3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</w:rPr>
        <w:t>Bilirubin</w:t>
      </w:r>
      <w:proofErr w:type="spellEnd"/>
      <w:r>
        <w:rPr>
          <w:rFonts w:ascii="Arial" w:hAnsi="Arial" w:cs="Arial"/>
          <w:sz w:val="22"/>
          <w:szCs w:val="22"/>
        </w:rPr>
        <w:t xml:space="preserve"> (TBIL)</w:t>
      </w:r>
    </w:p>
    <w:p w:rsidR="00884E32" w:rsidRDefault="00884E32" w:rsidP="00884E32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spellStart"/>
      <w:r w:rsidRPr="00884E32">
        <w:rPr>
          <w:rFonts w:ascii="Arial" w:hAnsi="Arial" w:cs="Arial"/>
          <w:sz w:val="20"/>
          <w:szCs w:val="20"/>
        </w:rPr>
        <w:t>Bilirubin</w:t>
      </w:r>
      <w:proofErr w:type="spellEnd"/>
      <w:r w:rsidRPr="00884E32">
        <w:rPr>
          <w:rFonts w:ascii="Arial" w:hAnsi="Arial" w:cs="Arial"/>
          <w:sz w:val="20"/>
          <w:szCs w:val="20"/>
        </w:rPr>
        <w:t xml:space="preserve"> is oxidised </w:t>
      </w:r>
      <w:r>
        <w:rPr>
          <w:rFonts w:ascii="Arial" w:hAnsi="Arial" w:cs="Arial"/>
          <w:sz w:val="20"/>
          <w:szCs w:val="20"/>
        </w:rPr>
        <w:t xml:space="preserve">by </w:t>
      </w:r>
      <w:proofErr w:type="spellStart"/>
      <w:r>
        <w:rPr>
          <w:rFonts w:ascii="Arial" w:hAnsi="Arial" w:cs="Arial"/>
          <w:sz w:val="20"/>
          <w:szCs w:val="20"/>
        </w:rPr>
        <w:t>bilirubin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oxidase</w:t>
      </w:r>
      <w:proofErr w:type="spellEnd"/>
      <w:r>
        <w:rPr>
          <w:rFonts w:ascii="Arial" w:hAnsi="Arial" w:cs="Arial"/>
          <w:sz w:val="20"/>
          <w:szCs w:val="20"/>
        </w:rPr>
        <w:t xml:space="preserve"> into </w:t>
      </w:r>
      <w:proofErr w:type="spellStart"/>
      <w:r>
        <w:rPr>
          <w:rFonts w:ascii="Arial" w:hAnsi="Arial" w:cs="Arial"/>
          <w:sz w:val="20"/>
          <w:szCs w:val="20"/>
        </w:rPr>
        <w:t>biliverdin</w:t>
      </w:r>
      <w:proofErr w:type="spellEnd"/>
    </w:p>
    <w:p w:rsidR="00884E32" w:rsidRDefault="00884E32" w:rsidP="00884E32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84E32" w:rsidRDefault="00884E32" w:rsidP="00884E32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Bilirubin</w:t>
      </w:r>
      <w:proofErr w:type="spellEnd"/>
      <w:r>
        <w:rPr>
          <w:rFonts w:ascii="Arial" w:hAnsi="Arial" w:cs="Arial"/>
          <w:sz w:val="20"/>
          <w:szCs w:val="20"/>
        </w:rPr>
        <w:t xml:space="preserve"> + O2 → </w:t>
      </w:r>
      <w:proofErr w:type="spellStart"/>
      <w:r>
        <w:rPr>
          <w:rFonts w:ascii="Arial" w:hAnsi="Arial" w:cs="Arial"/>
          <w:sz w:val="20"/>
          <w:szCs w:val="20"/>
        </w:rPr>
        <w:t>Biliverdin</w:t>
      </w:r>
      <w:proofErr w:type="spellEnd"/>
      <w:r>
        <w:rPr>
          <w:rFonts w:ascii="Arial" w:hAnsi="Arial" w:cs="Arial"/>
          <w:sz w:val="20"/>
          <w:szCs w:val="20"/>
        </w:rPr>
        <w:t xml:space="preserve"> + H2O</w:t>
      </w:r>
    </w:p>
    <w:p w:rsidR="00884E32" w:rsidRDefault="00884E32" w:rsidP="00884E32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84E32" w:rsidRPr="009956EA" w:rsidRDefault="00884E32" w:rsidP="009956E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Bilirubin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quantitated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56EA">
        <w:rPr>
          <w:rFonts w:ascii="Arial" w:hAnsi="Arial" w:cs="Arial"/>
          <w:sz w:val="20"/>
          <w:szCs w:val="20"/>
        </w:rPr>
        <w:t xml:space="preserve">as the difference in absorbance between 467nm and 550nm. The initial absorbance of this endpoint reaction is determined from the </w:t>
      </w:r>
      <w:proofErr w:type="spellStart"/>
      <w:r w:rsidR="009956EA">
        <w:rPr>
          <w:rFonts w:ascii="Arial" w:hAnsi="Arial" w:cs="Arial"/>
          <w:sz w:val="20"/>
          <w:szCs w:val="20"/>
        </w:rPr>
        <w:t>bilirubin</w:t>
      </w:r>
      <w:proofErr w:type="spellEnd"/>
      <w:r w:rsidR="009956EA">
        <w:rPr>
          <w:rFonts w:ascii="Arial" w:hAnsi="Arial" w:cs="Arial"/>
          <w:sz w:val="20"/>
          <w:szCs w:val="20"/>
        </w:rPr>
        <w:t xml:space="preserve"> blank </w:t>
      </w:r>
      <w:proofErr w:type="spellStart"/>
      <w:r w:rsidR="009956EA">
        <w:rPr>
          <w:rFonts w:ascii="Arial" w:hAnsi="Arial" w:cs="Arial"/>
          <w:sz w:val="20"/>
          <w:szCs w:val="20"/>
        </w:rPr>
        <w:t>cuvette</w:t>
      </w:r>
      <w:proofErr w:type="spellEnd"/>
      <w:r w:rsidR="009956EA">
        <w:rPr>
          <w:rFonts w:ascii="Arial" w:hAnsi="Arial" w:cs="Arial"/>
          <w:sz w:val="20"/>
          <w:szCs w:val="20"/>
        </w:rPr>
        <w:t xml:space="preserve"> and the final absorbance is obtained from the </w:t>
      </w:r>
      <w:proofErr w:type="spellStart"/>
      <w:r w:rsidR="009956EA">
        <w:rPr>
          <w:rFonts w:ascii="Arial" w:hAnsi="Arial" w:cs="Arial"/>
          <w:sz w:val="20"/>
          <w:szCs w:val="20"/>
        </w:rPr>
        <w:t>bilirubin</w:t>
      </w:r>
      <w:proofErr w:type="spellEnd"/>
      <w:r w:rsidR="009956EA">
        <w:rPr>
          <w:rFonts w:ascii="Arial" w:hAnsi="Arial" w:cs="Arial"/>
          <w:sz w:val="20"/>
          <w:szCs w:val="20"/>
        </w:rPr>
        <w:t xml:space="preserve"> test </w:t>
      </w:r>
      <w:proofErr w:type="spellStart"/>
      <w:r w:rsidR="009956EA">
        <w:rPr>
          <w:rFonts w:ascii="Arial" w:hAnsi="Arial" w:cs="Arial"/>
          <w:sz w:val="20"/>
          <w:szCs w:val="20"/>
        </w:rPr>
        <w:t>cuvette</w:t>
      </w:r>
      <w:proofErr w:type="spellEnd"/>
      <w:r w:rsidR="009956EA">
        <w:rPr>
          <w:rFonts w:ascii="Arial" w:hAnsi="Arial" w:cs="Arial"/>
          <w:sz w:val="20"/>
          <w:szCs w:val="20"/>
        </w:rPr>
        <w:t xml:space="preserve">. The amount of </w:t>
      </w:r>
      <w:proofErr w:type="spellStart"/>
      <w:r w:rsidR="009956EA">
        <w:rPr>
          <w:rFonts w:ascii="Arial" w:hAnsi="Arial" w:cs="Arial"/>
          <w:sz w:val="20"/>
          <w:szCs w:val="20"/>
        </w:rPr>
        <w:t>bilirubin</w:t>
      </w:r>
      <w:proofErr w:type="spellEnd"/>
      <w:r w:rsidR="009956EA">
        <w:rPr>
          <w:rFonts w:ascii="Arial" w:hAnsi="Arial" w:cs="Arial"/>
          <w:sz w:val="20"/>
          <w:szCs w:val="20"/>
        </w:rPr>
        <w:t xml:space="preserve"> in the sample is proportional to the difference between the initial and final absorbance measurement.</w:t>
      </w:r>
    </w:p>
    <w:p w:rsidR="00884E32" w:rsidRDefault="00884E32" w:rsidP="00884E32">
      <w:pPr>
        <w:autoSpaceDE w:val="0"/>
        <w:autoSpaceDN w:val="0"/>
        <w:adjustRightInd w:val="0"/>
        <w:rPr>
          <w:rFonts w:ascii="Arial" w:hAnsi="Arial" w:cs="Arial"/>
        </w:rPr>
      </w:pPr>
    </w:p>
    <w:p w:rsidR="00884E32" w:rsidRPr="00884E32" w:rsidRDefault="00884E32" w:rsidP="00884E32">
      <w:pPr>
        <w:autoSpaceDE w:val="0"/>
        <w:autoSpaceDN w:val="0"/>
        <w:adjustRightInd w:val="0"/>
        <w:rPr>
          <w:rFonts w:ascii="Arial" w:hAnsi="Arial" w:cs="Arial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Pr="000F1BA2" w:rsidRDefault="000F1BA2" w:rsidP="00DC2C7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Total protein (TP)</w:t>
      </w:r>
    </w:p>
    <w:p w:rsidR="000F1BA2" w:rsidRDefault="000F1BA2" w:rsidP="000F1BA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protein solution is treated with cupric (Cu11) ions in a strong alkaline medium. Sodium</w:t>
      </w:r>
      <w:r w:rsidR="00DC2C7C">
        <w:rPr>
          <w:rFonts w:ascii="Arial" w:hAnsi="Arial" w:cs="Arial"/>
        </w:rPr>
        <w:t xml:space="preserve"> potassium </w:t>
      </w:r>
      <w:proofErr w:type="spellStart"/>
      <w:r w:rsidR="00DC2C7C">
        <w:rPr>
          <w:rFonts w:ascii="Arial" w:hAnsi="Arial" w:cs="Arial"/>
        </w:rPr>
        <w:t>tartrate</w:t>
      </w:r>
      <w:proofErr w:type="spellEnd"/>
      <w:r w:rsidR="00DC2C7C">
        <w:rPr>
          <w:rFonts w:ascii="Arial" w:hAnsi="Arial" w:cs="Arial"/>
        </w:rPr>
        <w:t xml:space="preserve"> and potassium iodide are added to prevent the precipitation of copper hydroxide and the auto- reduction of copper </w:t>
      </w:r>
      <w:r w:rsidR="00DC2C7C">
        <w:rPr>
          <w:rFonts w:ascii="Arial" w:hAnsi="Arial" w:cs="Arial"/>
        </w:rPr>
        <w:lastRenderedPageBreak/>
        <w:t>respectively. The Cu11 ions react with peptide bonds between the carbonyl oxygen and amide nitrogen atoms to form a coloured Cu-protein complex</w:t>
      </w:r>
    </w:p>
    <w:p w:rsidR="00DC2C7C" w:rsidRDefault="00DC2C7C" w:rsidP="000F1BA2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DC2C7C" w:rsidRDefault="00DC2C7C" w:rsidP="000F1BA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Total protein + Cu11 → Cu-protein complex</w:t>
      </w:r>
    </w:p>
    <w:p w:rsidR="00DC2C7C" w:rsidRDefault="00DC2C7C" w:rsidP="000F1BA2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DC2C7C" w:rsidRDefault="00DC2C7C" w:rsidP="000F1BA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amount of total protein in the sample is directly proportional to the absorbance of the Cu-protein complex. The total protein test is an endpoint reaction and the absorbance is measured as the difference in absorbance between 550nm and 850nm.</w:t>
      </w:r>
    </w:p>
    <w:p w:rsidR="00DC2C7C" w:rsidRPr="00ED4556" w:rsidRDefault="00DC2C7C" w:rsidP="000F1BA2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DC2C7C" w:rsidRPr="00ED4556" w:rsidRDefault="00884E32" w:rsidP="00DC2C7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556">
        <w:rPr>
          <w:rFonts w:ascii="Arial" w:hAnsi="Arial" w:cs="Arial"/>
          <w:sz w:val="22"/>
          <w:szCs w:val="22"/>
        </w:rPr>
        <w:t>Blood Urea Nitrogen (BUN</w:t>
      </w:r>
      <w:r w:rsidR="00DC2C7C" w:rsidRPr="00ED4556">
        <w:rPr>
          <w:rFonts w:ascii="Arial" w:hAnsi="Arial" w:cs="Arial"/>
          <w:sz w:val="22"/>
          <w:szCs w:val="22"/>
        </w:rPr>
        <w:t>)</w:t>
      </w:r>
    </w:p>
    <w:p w:rsidR="00DC2C7C" w:rsidRPr="00DC2C7C" w:rsidRDefault="00DC2C7C" w:rsidP="00DC2C7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coupled</w:t>
      </w:r>
      <w:r w:rsidR="003E23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enzyme </w:t>
      </w:r>
      <w:r w:rsidR="003E2343">
        <w:rPr>
          <w:rFonts w:ascii="Arial" w:hAnsi="Arial" w:cs="Arial"/>
          <w:sz w:val="20"/>
          <w:szCs w:val="20"/>
        </w:rPr>
        <w:t xml:space="preserve">reaction, </w:t>
      </w:r>
      <w:proofErr w:type="spellStart"/>
      <w:r w:rsidR="003E2343">
        <w:rPr>
          <w:rFonts w:ascii="Arial" w:hAnsi="Arial" w:cs="Arial"/>
          <w:sz w:val="20"/>
          <w:szCs w:val="20"/>
        </w:rPr>
        <w:t>urease</w:t>
      </w:r>
      <w:proofErr w:type="spellEnd"/>
      <w:r w:rsidR="003E2343">
        <w:rPr>
          <w:rFonts w:ascii="Arial" w:hAnsi="Arial" w:cs="Arial"/>
          <w:sz w:val="20"/>
          <w:szCs w:val="20"/>
        </w:rPr>
        <w:t xml:space="preserve"> hydrolyses urea into ammonia and carbon dioxide. Upon combining ammonia with α-</w:t>
      </w:r>
      <w:proofErr w:type="spellStart"/>
      <w:r w:rsidR="003E2343">
        <w:rPr>
          <w:rFonts w:ascii="Arial" w:hAnsi="Arial" w:cs="Arial"/>
          <w:sz w:val="20"/>
          <w:szCs w:val="20"/>
        </w:rPr>
        <w:t>ketoglutarate</w:t>
      </w:r>
      <w:proofErr w:type="spellEnd"/>
      <w:r w:rsidR="003E2343">
        <w:rPr>
          <w:rFonts w:ascii="Arial" w:hAnsi="Arial" w:cs="Arial"/>
          <w:sz w:val="20"/>
          <w:szCs w:val="20"/>
        </w:rPr>
        <w:t xml:space="preserve"> and reduced </w:t>
      </w:r>
      <w:proofErr w:type="spellStart"/>
      <w:r w:rsidR="003E2343">
        <w:rPr>
          <w:rFonts w:ascii="Arial" w:hAnsi="Arial" w:cs="Arial"/>
          <w:sz w:val="20"/>
          <w:szCs w:val="20"/>
        </w:rPr>
        <w:t>nicotinamide</w:t>
      </w:r>
      <w:proofErr w:type="spellEnd"/>
      <w:r w:rsidR="003E2343">
        <w:rPr>
          <w:rFonts w:ascii="Arial" w:hAnsi="Arial" w:cs="Arial"/>
          <w:sz w:val="20"/>
          <w:szCs w:val="20"/>
        </w:rPr>
        <w:t xml:space="preserve"> adenine </w:t>
      </w:r>
      <w:proofErr w:type="spellStart"/>
      <w:r w:rsidR="003E2343">
        <w:rPr>
          <w:rFonts w:ascii="Arial" w:hAnsi="Arial" w:cs="Arial"/>
          <w:sz w:val="20"/>
          <w:szCs w:val="20"/>
        </w:rPr>
        <w:t>dinucleotide</w:t>
      </w:r>
      <w:proofErr w:type="spellEnd"/>
      <w:r w:rsidR="003E2343">
        <w:rPr>
          <w:rFonts w:ascii="Arial" w:hAnsi="Arial" w:cs="Arial"/>
          <w:sz w:val="20"/>
          <w:szCs w:val="20"/>
        </w:rPr>
        <w:t xml:space="preserve"> (NADH), the enzyme glutamate </w:t>
      </w:r>
      <w:proofErr w:type="spellStart"/>
      <w:r w:rsidR="003E2343">
        <w:rPr>
          <w:rFonts w:ascii="Arial" w:hAnsi="Arial" w:cs="Arial"/>
          <w:sz w:val="20"/>
          <w:szCs w:val="20"/>
        </w:rPr>
        <w:t>dehydrogenase</w:t>
      </w:r>
      <w:proofErr w:type="spellEnd"/>
      <w:r w:rsidR="003E2343">
        <w:rPr>
          <w:rFonts w:ascii="Arial" w:hAnsi="Arial" w:cs="Arial"/>
          <w:sz w:val="20"/>
          <w:szCs w:val="20"/>
        </w:rPr>
        <w:t xml:space="preserve"> (GLDH) oxidises NADH to NAD+</w:t>
      </w: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3E2343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Urea + H20 → 2NH3 + CO2</w:t>
      </w:r>
    </w:p>
    <w:p w:rsidR="003E2343" w:rsidRDefault="003E2343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3E2343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NH3 + α-</w:t>
      </w:r>
      <w:proofErr w:type="spellStart"/>
      <w:r>
        <w:rPr>
          <w:rFonts w:ascii="Arial" w:hAnsi="Arial" w:cs="Arial"/>
          <w:sz w:val="20"/>
          <w:szCs w:val="20"/>
        </w:rPr>
        <w:t>ketoglutarate</w:t>
      </w:r>
      <w:proofErr w:type="spellEnd"/>
      <w:r>
        <w:rPr>
          <w:rFonts w:ascii="Arial" w:hAnsi="Arial" w:cs="Arial"/>
          <w:sz w:val="20"/>
          <w:szCs w:val="20"/>
        </w:rPr>
        <w:t xml:space="preserve"> + NADH → L-Glutamate + H20 + NAD+</w:t>
      </w:r>
    </w:p>
    <w:p w:rsidR="003E2343" w:rsidRDefault="003E2343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3E2343" w:rsidRDefault="003E2343" w:rsidP="003E234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 of change of the absorbance difference between 340nm and 405nm is caused by the conversion of NADH to NAD+ and is directly proportional to the amount of urea present in the sample.</w:t>
      </w:r>
    </w:p>
    <w:p w:rsidR="003E2343" w:rsidRPr="00ED4556" w:rsidRDefault="003E2343" w:rsidP="003E234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3E2343" w:rsidRPr="00ED4556" w:rsidRDefault="00884E32" w:rsidP="003E23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556">
        <w:rPr>
          <w:rFonts w:ascii="Arial" w:hAnsi="Arial" w:cs="Arial"/>
          <w:sz w:val="22"/>
          <w:szCs w:val="22"/>
        </w:rPr>
        <w:t>Uric Acid (UA)</w:t>
      </w:r>
    </w:p>
    <w:p w:rsidR="00884E32" w:rsidRDefault="00884E32" w:rsidP="00884E3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Uricase</w:t>
      </w:r>
      <w:proofErr w:type="spellEnd"/>
      <w:r>
        <w:rPr>
          <w:rFonts w:ascii="Arial" w:hAnsi="Arial" w:cs="Arial"/>
        </w:rPr>
        <w:t xml:space="preserve"> catalyses the oxidation of uric acid to </w:t>
      </w:r>
      <w:proofErr w:type="spellStart"/>
      <w:r>
        <w:rPr>
          <w:rFonts w:ascii="Arial" w:hAnsi="Arial" w:cs="Arial"/>
        </w:rPr>
        <w:t>allantoin</w:t>
      </w:r>
      <w:proofErr w:type="spellEnd"/>
      <w:r>
        <w:rPr>
          <w:rFonts w:ascii="Arial" w:hAnsi="Arial" w:cs="Arial"/>
        </w:rPr>
        <w:t xml:space="preserve"> and hydrogen peroxide. </w:t>
      </w:r>
      <w:proofErr w:type="spellStart"/>
      <w:proofErr w:type="gramStart"/>
      <w:r>
        <w:rPr>
          <w:rFonts w:ascii="Arial" w:hAnsi="Arial" w:cs="Arial"/>
        </w:rPr>
        <w:t>Peroxidase</w:t>
      </w:r>
      <w:proofErr w:type="spellEnd"/>
      <w:r>
        <w:rPr>
          <w:rFonts w:ascii="Arial" w:hAnsi="Arial" w:cs="Arial"/>
        </w:rPr>
        <w:t xml:space="preserve"> </w:t>
      </w:r>
      <w:r w:rsidR="009956EA">
        <w:rPr>
          <w:rFonts w:ascii="Arial" w:hAnsi="Arial" w:cs="Arial"/>
        </w:rPr>
        <w:t xml:space="preserve"> catalyses</w:t>
      </w:r>
      <w:proofErr w:type="gramEnd"/>
      <w:r w:rsidR="009956EA">
        <w:rPr>
          <w:rFonts w:ascii="Arial" w:hAnsi="Arial" w:cs="Arial"/>
        </w:rPr>
        <w:t xml:space="preserve"> the reaction among the hydrogen peroxide (H2O2), </w:t>
      </w:r>
      <w:r w:rsidR="00013218">
        <w:rPr>
          <w:rFonts w:ascii="Arial" w:hAnsi="Arial" w:cs="Arial"/>
        </w:rPr>
        <w:t xml:space="preserve">4-aminoantipyrine (4-AAP) and 3,5-dichloro-2-hydroxybenzenesulphonic acid (DHBSA) into a red </w:t>
      </w:r>
      <w:proofErr w:type="spellStart"/>
      <w:r w:rsidR="00013218">
        <w:rPr>
          <w:rFonts w:ascii="Arial" w:hAnsi="Arial" w:cs="Arial"/>
        </w:rPr>
        <w:t>quinoneimine</w:t>
      </w:r>
      <w:proofErr w:type="spellEnd"/>
      <w:r w:rsidR="00013218">
        <w:rPr>
          <w:rFonts w:ascii="Arial" w:hAnsi="Arial" w:cs="Arial"/>
        </w:rPr>
        <w:t xml:space="preserve"> dye. Sodium </w:t>
      </w:r>
      <w:proofErr w:type="spellStart"/>
      <w:r w:rsidR="00013218">
        <w:rPr>
          <w:rFonts w:ascii="Arial" w:hAnsi="Arial" w:cs="Arial"/>
        </w:rPr>
        <w:t>ferrocyanide</w:t>
      </w:r>
      <w:proofErr w:type="spellEnd"/>
      <w:r w:rsidR="00013218">
        <w:rPr>
          <w:rFonts w:ascii="Arial" w:hAnsi="Arial" w:cs="Arial"/>
        </w:rPr>
        <w:t xml:space="preserve"> and </w:t>
      </w:r>
      <w:proofErr w:type="spellStart"/>
      <w:r w:rsidR="00013218">
        <w:rPr>
          <w:rFonts w:ascii="Arial" w:hAnsi="Arial" w:cs="Arial"/>
        </w:rPr>
        <w:t>ascorbate</w:t>
      </w:r>
      <w:proofErr w:type="spellEnd"/>
      <w:r w:rsidR="00013218">
        <w:rPr>
          <w:rFonts w:ascii="Arial" w:hAnsi="Arial" w:cs="Arial"/>
        </w:rPr>
        <w:t xml:space="preserve"> </w:t>
      </w:r>
      <w:proofErr w:type="spellStart"/>
      <w:r w:rsidR="00013218">
        <w:rPr>
          <w:rFonts w:ascii="Arial" w:hAnsi="Arial" w:cs="Arial"/>
        </w:rPr>
        <w:t>oxidase</w:t>
      </w:r>
      <w:proofErr w:type="spellEnd"/>
      <w:r w:rsidR="00013218">
        <w:rPr>
          <w:rFonts w:ascii="Arial" w:hAnsi="Arial" w:cs="Arial"/>
        </w:rPr>
        <w:t xml:space="preserve"> are added to the reaction to minimise the potential interference of </w:t>
      </w:r>
      <w:proofErr w:type="spellStart"/>
      <w:r w:rsidR="00013218">
        <w:rPr>
          <w:rFonts w:ascii="Arial" w:hAnsi="Arial" w:cs="Arial"/>
        </w:rPr>
        <w:t>bilirubin</w:t>
      </w:r>
      <w:proofErr w:type="spellEnd"/>
      <w:r w:rsidR="00013218">
        <w:rPr>
          <w:rFonts w:ascii="Arial" w:hAnsi="Arial" w:cs="Arial"/>
        </w:rPr>
        <w:t xml:space="preserve"> and ascorbic acid.</w:t>
      </w:r>
    </w:p>
    <w:p w:rsidR="00013218" w:rsidRDefault="00013218" w:rsidP="00884E32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013218" w:rsidRDefault="00013218" w:rsidP="00884E32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013218" w:rsidRDefault="00013218" w:rsidP="00884E3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Uric acid + O2 + H2O → </w:t>
      </w:r>
      <w:proofErr w:type="spellStart"/>
      <w:r>
        <w:rPr>
          <w:rFonts w:ascii="Arial" w:hAnsi="Arial" w:cs="Arial"/>
        </w:rPr>
        <w:t>Allantoin</w:t>
      </w:r>
      <w:proofErr w:type="spellEnd"/>
      <w:r>
        <w:rPr>
          <w:rFonts w:ascii="Arial" w:hAnsi="Arial" w:cs="Arial"/>
        </w:rPr>
        <w:t xml:space="preserve"> + CO2 + H2O2</w:t>
      </w:r>
    </w:p>
    <w:p w:rsidR="00013218" w:rsidRDefault="00013218" w:rsidP="00884E32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013218" w:rsidRDefault="00013218" w:rsidP="00884E3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H2O2 + 4-AAP + DHBSA → </w:t>
      </w:r>
      <w:proofErr w:type="spellStart"/>
      <w:r>
        <w:rPr>
          <w:rFonts w:ascii="Arial" w:hAnsi="Arial" w:cs="Arial"/>
        </w:rPr>
        <w:t>Quinoneimine</w:t>
      </w:r>
      <w:proofErr w:type="spellEnd"/>
      <w:r>
        <w:rPr>
          <w:rFonts w:ascii="Arial" w:hAnsi="Arial" w:cs="Arial"/>
        </w:rPr>
        <w:t xml:space="preserve"> dye + H2O</w:t>
      </w:r>
    </w:p>
    <w:p w:rsidR="00884E32" w:rsidRDefault="00884E32" w:rsidP="00884E32">
      <w:pPr>
        <w:autoSpaceDE w:val="0"/>
        <w:autoSpaceDN w:val="0"/>
        <w:adjustRightInd w:val="0"/>
        <w:rPr>
          <w:rFonts w:ascii="Arial" w:hAnsi="Arial" w:cs="Arial"/>
        </w:rPr>
      </w:pPr>
    </w:p>
    <w:p w:rsidR="00884E32" w:rsidRPr="00884E32" w:rsidRDefault="00884E32" w:rsidP="00884E32">
      <w:pPr>
        <w:autoSpaceDE w:val="0"/>
        <w:autoSpaceDN w:val="0"/>
        <w:adjustRightInd w:val="0"/>
        <w:rPr>
          <w:rFonts w:ascii="Arial" w:hAnsi="Arial" w:cs="Arial"/>
        </w:rPr>
      </w:pPr>
    </w:p>
    <w:p w:rsidR="003E2343" w:rsidRPr="003E2343" w:rsidRDefault="003E2343" w:rsidP="003E2343">
      <w:pPr>
        <w:autoSpaceDE w:val="0"/>
        <w:autoSpaceDN w:val="0"/>
        <w:adjustRightInd w:val="0"/>
        <w:rPr>
          <w:rFonts w:ascii="Arial" w:hAnsi="Arial" w:cs="Arial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A9550D" w:rsidRPr="00492048" w:rsidRDefault="00A9550D" w:rsidP="0049204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492048" w:rsidRPr="00492048" w:rsidRDefault="00492048" w:rsidP="00492048">
      <w:pPr>
        <w:autoSpaceDE w:val="0"/>
        <w:autoSpaceDN w:val="0"/>
        <w:adjustRightInd w:val="0"/>
        <w:rPr>
          <w:rFonts w:ascii="Arial" w:hAnsi="Arial" w:cs="Arial"/>
        </w:rPr>
      </w:pPr>
    </w:p>
    <w:p w:rsidR="009E0FC7" w:rsidRDefault="009E0FC7" w:rsidP="00EA153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E0FC7" w:rsidRDefault="009E0FC7" w:rsidP="009E0FC7">
      <w:pPr>
        <w:autoSpaceDE w:val="0"/>
        <w:autoSpaceDN w:val="0"/>
        <w:adjustRightInd w:val="0"/>
        <w:rPr>
          <w:rFonts w:ascii="Arial" w:hAnsi="Arial" w:cs="Arial"/>
        </w:rPr>
      </w:pPr>
    </w:p>
    <w:p w:rsidR="009E0FC7" w:rsidRDefault="009E0FC7" w:rsidP="009E0FC7">
      <w:pPr>
        <w:autoSpaceDE w:val="0"/>
        <w:autoSpaceDN w:val="0"/>
        <w:adjustRightInd w:val="0"/>
        <w:rPr>
          <w:rFonts w:ascii="Arial" w:hAnsi="Arial" w:cs="Arial"/>
        </w:rPr>
      </w:pPr>
    </w:p>
    <w:p w:rsidR="009E0FC7" w:rsidRDefault="009E0FC7" w:rsidP="009E0FC7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15E93" w:rsidRPr="00D15E93" w:rsidRDefault="00D15E93" w:rsidP="00D15E93"/>
    <w:p w:rsidR="00765AA6" w:rsidRDefault="00765AA6" w:rsidP="00415F6F">
      <w:pPr>
        <w:pStyle w:val="Heading1"/>
        <w:rPr>
          <w:bCs/>
          <w:caps/>
        </w:rPr>
      </w:pPr>
      <w:bookmarkStart w:id="40" w:name="_Toc481678984"/>
      <w:r w:rsidRPr="00415F6F">
        <w:rPr>
          <w:bCs/>
          <w:caps/>
        </w:rPr>
        <w:lastRenderedPageBreak/>
        <w:t>c) Performance characteristics (see 5.5.1.2 and 5.5.1.3)</w:t>
      </w:r>
      <w:bookmarkEnd w:id="40"/>
    </w:p>
    <w:p w:rsidR="001446F2" w:rsidRPr="001446F2" w:rsidRDefault="001446F2" w:rsidP="001446F2"/>
    <w:p w:rsidR="00B061F1" w:rsidRDefault="00B061F1" w:rsidP="00B061F1">
      <w:pPr>
        <w:rPr>
          <w:rFonts w:ascii="Arial" w:hAnsi="Arial" w:cs="Arial"/>
          <w:sz w:val="22"/>
          <w:szCs w:val="22"/>
        </w:rPr>
      </w:pPr>
    </w:p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1446F2" w:rsidRPr="001446F2" w:rsidRDefault="001446F2" w:rsidP="001446F2"/>
    <w:p w:rsidR="00765AA6" w:rsidRDefault="00765AA6" w:rsidP="002D7D1D">
      <w:pPr>
        <w:pStyle w:val="Heading1"/>
        <w:numPr>
          <w:ilvl w:val="0"/>
          <w:numId w:val="35"/>
        </w:numPr>
        <w:rPr>
          <w:bCs/>
          <w:caps/>
        </w:rPr>
      </w:pPr>
      <w:bookmarkStart w:id="41" w:name="_Toc481678985"/>
      <w:r w:rsidRPr="00415F6F">
        <w:rPr>
          <w:bCs/>
          <w:caps/>
        </w:rPr>
        <w:t>Type of sample (e.g. plasma, serum, urine)</w:t>
      </w:r>
      <w:bookmarkEnd w:id="41"/>
    </w:p>
    <w:p w:rsidR="002D7D1D" w:rsidRPr="002D7D1D" w:rsidRDefault="002D7D1D" w:rsidP="002D7D1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7D1D">
        <w:rPr>
          <w:rFonts w:ascii="Arial" w:hAnsi="Arial" w:cs="Arial"/>
          <w:sz w:val="20"/>
          <w:szCs w:val="20"/>
        </w:rPr>
        <w:t xml:space="preserve">The Piccolo Xpress chemistry analyzer accepts </w:t>
      </w:r>
      <w:r w:rsidR="00637463">
        <w:rPr>
          <w:rFonts w:ascii="Arial" w:hAnsi="Arial" w:cs="Arial"/>
          <w:b/>
          <w:bCs/>
          <w:sz w:val="20"/>
          <w:szCs w:val="20"/>
        </w:rPr>
        <w:t>lithium-heparinis</w:t>
      </w:r>
      <w:r w:rsidRPr="002D7D1D">
        <w:rPr>
          <w:rFonts w:ascii="Arial" w:hAnsi="Arial" w:cs="Arial"/>
          <w:b/>
          <w:bCs/>
          <w:sz w:val="20"/>
          <w:szCs w:val="20"/>
        </w:rPr>
        <w:t xml:space="preserve">ed </w:t>
      </w:r>
      <w:r w:rsidRPr="002D7D1D">
        <w:rPr>
          <w:rFonts w:ascii="Arial" w:hAnsi="Arial" w:cs="Arial"/>
          <w:sz w:val="20"/>
          <w:szCs w:val="20"/>
        </w:rPr>
        <w:t>whole blood, plasma, or serum samples</w:t>
      </w:r>
    </w:p>
    <w:p w:rsidR="001446F2" w:rsidRPr="002D7D1D" w:rsidRDefault="001446F2" w:rsidP="001446F2">
      <w:pPr>
        <w:rPr>
          <w:rFonts w:ascii="Arial" w:hAnsi="Arial" w:cs="Arial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2" w:name="_Toc481678986"/>
      <w:r w:rsidRPr="00415F6F">
        <w:rPr>
          <w:bCs/>
          <w:caps/>
        </w:rPr>
        <w:t>e) Patient preparation</w:t>
      </w:r>
      <w:bookmarkEnd w:id="42"/>
    </w:p>
    <w:p w:rsidR="001446F2" w:rsidRDefault="001446F2" w:rsidP="001446F2"/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3" w:name="_Toc481678987"/>
      <w:r w:rsidRPr="00415F6F">
        <w:rPr>
          <w:bCs/>
          <w:caps/>
        </w:rPr>
        <w:t>f) Type of container and additives</w:t>
      </w:r>
      <w:bookmarkEnd w:id="43"/>
    </w:p>
    <w:p w:rsidR="00635F43" w:rsidRPr="00635F43" w:rsidRDefault="00F17323" w:rsidP="00635F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Withdraw blood from sampling line into a plain plastic sterile syringe. Decant into a sterile container and follow the steps for running a sample below.</w:t>
      </w:r>
    </w:p>
    <w:p w:rsidR="001446F2" w:rsidRPr="00575E66" w:rsidRDefault="00575E66" w:rsidP="00575E66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</w:t>
      </w:r>
    </w:p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4" w:name="_Toc481678988"/>
      <w:r w:rsidRPr="00415F6F">
        <w:rPr>
          <w:bCs/>
          <w:caps/>
        </w:rPr>
        <w:t>g) Required equipment and reagents</w:t>
      </w:r>
      <w:bookmarkEnd w:id="44"/>
    </w:p>
    <w:p w:rsidR="002D7D1D" w:rsidRDefault="002D7D1D" w:rsidP="002D7D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Operational Materials </w:t>
      </w:r>
      <w:proofErr w:type="spellStart"/>
      <w:r>
        <w:rPr>
          <w:rFonts w:ascii="Arial" w:hAnsi="Arial" w:cs="Arial"/>
          <w:b/>
          <w:bCs/>
        </w:rPr>
        <w:t>Catalog</w:t>
      </w:r>
      <w:proofErr w:type="spellEnd"/>
      <w:r>
        <w:rPr>
          <w:rFonts w:ascii="Arial" w:hAnsi="Arial" w:cs="Arial"/>
          <w:b/>
          <w:bCs/>
        </w:rPr>
        <w:t xml:space="preserve"> Number</w:t>
      </w:r>
    </w:p>
    <w:p w:rsidR="002D7D1D" w:rsidRDefault="002D7D1D" w:rsidP="002D7D1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Pipette tips, disposable, pack of 96 </w:t>
      </w:r>
      <w:proofErr w:type="spellStart"/>
      <w:r>
        <w:rPr>
          <w:rFonts w:ascii="Arial" w:hAnsi="Arial" w:cs="Arial"/>
        </w:rPr>
        <w:t>Abaxis</w:t>
      </w:r>
      <w:proofErr w:type="spellEnd"/>
      <w:r>
        <w:rPr>
          <w:rFonts w:ascii="Arial" w:hAnsi="Arial" w:cs="Arial"/>
        </w:rPr>
        <w:t xml:space="preserve"> #500-9007</w:t>
      </w:r>
    </w:p>
    <w:p w:rsidR="002D7D1D" w:rsidRDefault="002D7D1D" w:rsidP="002D7D1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Mini pipette, 100 ml, gray </w:t>
      </w:r>
      <w:proofErr w:type="spellStart"/>
      <w:r>
        <w:rPr>
          <w:rFonts w:ascii="Arial" w:hAnsi="Arial" w:cs="Arial"/>
        </w:rPr>
        <w:t>Abaxis</w:t>
      </w:r>
      <w:proofErr w:type="spellEnd"/>
      <w:r>
        <w:rPr>
          <w:rFonts w:ascii="Arial" w:hAnsi="Arial" w:cs="Arial"/>
        </w:rPr>
        <w:t xml:space="preserve"> #500-9006</w:t>
      </w:r>
    </w:p>
    <w:p w:rsidR="002D7D1D" w:rsidRDefault="002D7D1D" w:rsidP="002D7D1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Internal printer paper rolls, box of 6 </w:t>
      </w:r>
      <w:proofErr w:type="spellStart"/>
      <w:r>
        <w:rPr>
          <w:rFonts w:ascii="Arial" w:hAnsi="Arial" w:cs="Arial"/>
        </w:rPr>
        <w:t>Abaxis</w:t>
      </w:r>
      <w:proofErr w:type="spellEnd"/>
      <w:r>
        <w:rPr>
          <w:rFonts w:ascii="Arial" w:hAnsi="Arial" w:cs="Arial"/>
        </w:rPr>
        <w:t xml:space="preserve"> #1100-4410</w:t>
      </w:r>
    </w:p>
    <w:p w:rsidR="002D7D1D" w:rsidRPr="002D7D1D" w:rsidRDefault="002D7D1D" w:rsidP="002D7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 filter, </w:t>
      </w:r>
      <w:r w:rsidRPr="002D7D1D">
        <w:rPr>
          <w:rFonts w:ascii="Arial" w:hAnsi="Arial" w:cs="Arial"/>
        </w:rPr>
        <w:t xml:space="preserve">covered </w:t>
      </w:r>
      <w:proofErr w:type="spellStart"/>
      <w:r w:rsidRPr="002D7D1D">
        <w:rPr>
          <w:rFonts w:ascii="Arial" w:hAnsi="Arial" w:cs="Arial"/>
        </w:rPr>
        <w:t>Abaxis</w:t>
      </w:r>
      <w:proofErr w:type="spellEnd"/>
      <w:r w:rsidRPr="002D7D1D">
        <w:rPr>
          <w:rFonts w:ascii="Arial" w:hAnsi="Arial" w:cs="Arial"/>
        </w:rPr>
        <w:t xml:space="preserve"> #1987-0009</w:t>
      </w:r>
    </w:p>
    <w:p w:rsidR="00860267" w:rsidRPr="00860267" w:rsidRDefault="002D7D1D" w:rsidP="00860267">
      <w:pPr>
        <w:pStyle w:val="Default"/>
        <w:rPr>
          <w:sz w:val="20"/>
          <w:szCs w:val="20"/>
        </w:rPr>
      </w:pPr>
      <w:r w:rsidRPr="00860267">
        <w:rPr>
          <w:sz w:val="20"/>
          <w:szCs w:val="20"/>
        </w:rPr>
        <w:t xml:space="preserve"> Piccolo® Reagent Disc – General Chemistry 13</w:t>
      </w:r>
      <w:r w:rsidR="00860267" w:rsidRPr="00860267">
        <w:rPr>
          <w:sz w:val="20"/>
          <w:szCs w:val="20"/>
        </w:rPr>
        <w:t xml:space="preserve"> </w:t>
      </w:r>
    </w:p>
    <w:p w:rsidR="002D7D1D" w:rsidRPr="00860267" w:rsidRDefault="00860267" w:rsidP="00860267">
      <w:pPr>
        <w:pStyle w:val="Default"/>
        <w:rPr>
          <w:sz w:val="20"/>
          <w:szCs w:val="20"/>
        </w:rPr>
      </w:pPr>
      <w:r w:rsidRPr="00860267">
        <w:rPr>
          <w:sz w:val="20"/>
          <w:szCs w:val="20"/>
        </w:rPr>
        <w:t xml:space="preserve"> 400-1029 (single); 400-0029 (10 pack); 400-0029-4 (4 pack) </w:t>
      </w:r>
    </w:p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5" w:name="_Toc481678989"/>
      <w:r w:rsidRPr="00415F6F">
        <w:rPr>
          <w:bCs/>
          <w:caps/>
        </w:rPr>
        <w:t>h) Environmental and safety controls</w:t>
      </w:r>
      <w:bookmarkEnd w:id="45"/>
    </w:p>
    <w:p w:rsidR="00635F43" w:rsidRPr="00635F43" w:rsidRDefault="00635F43" w:rsidP="00635F43">
      <w:pPr>
        <w:rPr>
          <w:rFonts w:ascii="Arial" w:hAnsi="Arial" w:cs="Arial"/>
        </w:rPr>
      </w:pPr>
      <w:r w:rsidRPr="00635F43">
        <w:rPr>
          <w:rFonts w:ascii="Arial" w:hAnsi="Arial" w:cs="Arial"/>
        </w:rPr>
        <w:t xml:space="preserve">Refer to the various MSDS and kit inserts for instructions on the storage, handling and disposal of the material. </w:t>
      </w:r>
    </w:p>
    <w:p w:rsidR="001446F2" w:rsidRDefault="00A761DE" w:rsidP="001446F2">
      <w:pPr>
        <w:rPr>
          <w:rFonts w:ascii="Arial" w:hAnsi="Arial" w:cs="Arial"/>
        </w:rPr>
      </w:pPr>
      <w:r>
        <w:rPr>
          <w:rFonts w:ascii="Arial" w:hAnsi="Arial" w:cs="Arial"/>
        </w:rPr>
        <w:t>POCT-EXT6</w:t>
      </w:r>
    </w:p>
    <w:p w:rsidR="00A761DE" w:rsidRDefault="00A761DE" w:rsidP="001446F2">
      <w:pPr>
        <w:rPr>
          <w:rFonts w:ascii="Arial" w:hAnsi="Arial" w:cs="Arial"/>
        </w:rPr>
      </w:pPr>
      <w:r>
        <w:rPr>
          <w:rFonts w:ascii="Arial" w:hAnsi="Arial" w:cs="Arial"/>
        </w:rPr>
        <w:t>POCT-SDS4</w:t>
      </w:r>
    </w:p>
    <w:p w:rsidR="00A761DE" w:rsidRPr="00635F43" w:rsidRDefault="00A761DE" w:rsidP="001446F2">
      <w:pPr>
        <w:rPr>
          <w:rFonts w:ascii="Arial" w:hAnsi="Arial" w:cs="Arial"/>
        </w:rPr>
      </w:pPr>
      <w:r>
        <w:rPr>
          <w:rFonts w:ascii="Arial" w:hAnsi="Arial" w:cs="Arial"/>
        </w:rPr>
        <w:t>POCT-SDS5</w:t>
      </w:r>
    </w:p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6" w:name="_Toc481678990"/>
      <w:r w:rsidRPr="00415F6F">
        <w:rPr>
          <w:bCs/>
          <w:caps/>
        </w:rPr>
        <w:t>i) Calibration procedures (metrological traceability)</w:t>
      </w:r>
      <w:bookmarkEnd w:id="46"/>
    </w:p>
    <w:p w:rsidR="001446F2" w:rsidRPr="00635F43" w:rsidRDefault="00635F43" w:rsidP="001446F2">
      <w:pPr>
        <w:rPr>
          <w:rFonts w:ascii="Arial" w:hAnsi="Arial" w:cs="Arial"/>
        </w:rPr>
      </w:pPr>
      <w:r>
        <w:rPr>
          <w:rFonts w:ascii="Arial" w:hAnsi="Arial" w:cs="Arial"/>
        </w:rPr>
        <w:t>Refer to Piccolo traceability</w:t>
      </w:r>
      <w:r w:rsidR="004F7024">
        <w:rPr>
          <w:rFonts w:ascii="Arial" w:hAnsi="Arial" w:cs="Arial"/>
        </w:rPr>
        <w:t>: ref</w:t>
      </w:r>
      <w:r>
        <w:rPr>
          <w:rFonts w:ascii="Arial" w:hAnsi="Arial" w:cs="Arial"/>
        </w:rPr>
        <w:t xml:space="preserve"> </w:t>
      </w:r>
      <w:r w:rsidR="004F7024">
        <w:rPr>
          <w:rFonts w:ascii="Arial" w:hAnsi="Arial" w:cs="Arial"/>
        </w:rPr>
        <w:t>POCT-EXT6</w:t>
      </w:r>
    </w:p>
    <w:p w:rsidR="001446F2" w:rsidRDefault="001446F2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Default="00DC5A3B" w:rsidP="001446F2">
      <w:pPr>
        <w:rPr>
          <w:rFonts w:ascii="Arial" w:hAnsi="Arial" w:cs="Arial"/>
          <w:sz w:val="22"/>
          <w:szCs w:val="22"/>
        </w:rPr>
      </w:pPr>
    </w:p>
    <w:p w:rsidR="00DC5A3B" w:rsidRPr="001446F2" w:rsidRDefault="00DC5A3B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7" w:name="_Toc481678991"/>
      <w:r w:rsidRPr="00415F6F">
        <w:rPr>
          <w:bCs/>
          <w:caps/>
        </w:rPr>
        <w:t>j) Procedural steps</w:t>
      </w:r>
      <w:bookmarkEnd w:id="47"/>
    </w:p>
    <w:p w:rsidR="00240235" w:rsidRPr="00970EE4" w:rsidRDefault="00970EE4" w:rsidP="002402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Running a patient sample</w:t>
      </w:r>
    </w:p>
    <w:p w:rsidR="00240235" w:rsidRDefault="00240235" w:rsidP="00240235">
      <w:pPr>
        <w:rPr>
          <w:rFonts w:ascii="Arial" w:hAnsi="Arial" w:cs="Arial"/>
          <w:sz w:val="22"/>
          <w:szCs w:val="22"/>
        </w:rPr>
      </w:pPr>
      <w:r w:rsidRPr="00240235">
        <w:rPr>
          <w:rFonts w:ascii="Arial" w:hAnsi="Arial" w:cs="Arial"/>
          <w:sz w:val="22"/>
          <w:szCs w:val="22"/>
        </w:rPr>
        <w:t>Turn on the analyser by pressing the Power button on the front of the analyser</w:t>
      </w:r>
    </w:p>
    <w:p w:rsidR="00240235" w:rsidRDefault="00240235" w:rsidP="00240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analyser turns on then performs a self test</w:t>
      </w:r>
    </w:p>
    <w:p w:rsidR="00240235" w:rsidRPr="00240235" w:rsidRDefault="00240235" w:rsidP="00240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analyser needs time to warm the disc chamber to operating temperature the display shows ‘warming’</w:t>
      </w:r>
    </w:p>
    <w:p w:rsidR="00240235" w:rsidRDefault="00240235" w:rsidP="00240235"/>
    <w:p w:rsidR="00240235" w:rsidRDefault="00240235" w:rsidP="00240235">
      <w:r>
        <w:rPr>
          <w:noProof/>
        </w:rPr>
        <w:drawing>
          <wp:inline distT="0" distB="0" distL="0" distR="0">
            <wp:extent cx="1666875" cy="220980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35" w:rsidRDefault="00240235" w:rsidP="00240235"/>
    <w:p w:rsidR="00240235" w:rsidRDefault="00240235" w:rsidP="00240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analyser reaches operating temperature it displays ‘analyse’</w:t>
      </w:r>
    </w:p>
    <w:p w:rsidR="00240235" w:rsidRDefault="00240235" w:rsidP="00240235">
      <w:pPr>
        <w:rPr>
          <w:rFonts w:ascii="Arial" w:hAnsi="Arial" w:cs="Arial"/>
          <w:sz w:val="22"/>
          <w:szCs w:val="22"/>
        </w:rPr>
      </w:pPr>
    </w:p>
    <w:p w:rsidR="00240235" w:rsidRPr="00240235" w:rsidRDefault="00240235" w:rsidP="00240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28775" cy="2238375"/>
            <wp:effectExtent l="1905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35" w:rsidRDefault="00240235" w:rsidP="00240235"/>
    <w:p w:rsidR="00240235" w:rsidRDefault="00240235" w:rsidP="00240235"/>
    <w:p w:rsidR="00240235" w:rsidRDefault="00240235" w:rsidP="00240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reagent discs can be used straight from the fridge. The discs can remain in the sealed pouch at room temperature</w:t>
      </w:r>
      <w:r w:rsidR="0005366E">
        <w:rPr>
          <w:rFonts w:ascii="Arial" w:hAnsi="Arial" w:cs="Arial"/>
          <w:sz w:val="22"/>
          <w:szCs w:val="22"/>
        </w:rPr>
        <w:t xml:space="preserve"> for a</w:t>
      </w:r>
      <w:r w:rsidR="00D730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366E">
        <w:rPr>
          <w:rFonts w:ascii="Arial" w:hAnsi="Arial" w:cs="Arial"/>
          <w:sz w:val="22"/>
          <w:szCs w:val="22"/>
        </w:rPr>
        <w:t>cummulative</w:t>
      </w:r>
      <w:proofErr w:type="spellEnd"/>
      <w:r w:rsidR="0005366E">
        <w:rPr>
          <w:rFonts w:ascii="Arial" w:hAnsi="Arial" w:cs="Arial"/>
          <w:sz w:val="22"/>
          <w:szCs w:val="22"/>
        </w:rPr>
        <w:t xml:space="preserve"> period of up to 48 hours</w:t>
      </w:r>
    </w:p>
    <w:p w:rsidR="0005366E" w:rsidRP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Pr="0005366E" w:rsidRDefault="0005366E" w:rsidP="0005366E">
      <w:pPr>
        <w:rPr>
          <w:rFonts w:ascii="Arial" w:hAnsi="Arial" w:cs="Arial"/>
          <w:bCs/>
          <w:sz w:val="22"/>
          <w:szCs w:val="22"/>
        </w:rPr>
      </w:pPr>
      <w:r w:rsidRPr="0005366E">
        <w:rPr>
          <w:rFonts w:ascii="Arial" w:hAnsi="Arial" w:cs="Arial"/>
          <w:bCs/>
          <w:sz w:val="22"/>
          <w:szCs w:val="22"/>
        </w:rPr>
        <w:t>Check for tears and punctures in unopened foil pouch, use disk within 20 minutes of opening</w:t>
      </w:r>
    </w:p>
    <w:p w:rsid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Default="0005366E" w:rsidP="00240235">
      <w:pPr>
        <w:rPr>
          <w:rFonts w:ascii="Arial" w:hAnsi="Arial" w:cs="Arial"/>
          <w:sz w:val="22"/>
          <w:szCs w:val="22"/>
        </w:rPr>
      </w:pPr>
    </w:p>
    <w:p w:rsidR="0005366E" w:rsidRPr="00240235" w:rsidRDefault="0005366E" w:rsidP="00240235">
      <w:pPr>
        <w:rPr>
          <w:rFonts w:ascii="Arial" w:hAnsi="Arial" w:cs="Arial"/>
          <w:sz w:val="22"/>
          <w:szCs w:val="22"/>
        </w:rPr>
      </w:pPr>
    </w:p>
    <w:p w:rsidR="001446F2" w:rsidRDefault="001446F2" w:rsidP="001446F2"/>
    <w:p w:rsidR="00DC5A3B" w:rsidRPr="00DC5A3B" w:rsidRDefault="00DC5A3B" w:rsidP="00DC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A3B">
        <w:rPr>
          <w:rFonts w:ascii="Arial" w:hAnsi="Arial" w:cs="Arial"/>
          <w:sz w:val="22"/>
          <w:szCs w:val="22"/>
        </w:rPr>
        <w:t xml:space="preserve"> Fill the sample chamber.</w:t>
      </w:r>
    </w:p>
    <w:p w:rsidR="00DC5A3B" w:rsidRPr="00DC5A3B" w:rsidRDefault="00DC5A3B" w:rsidP="00DC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A3B">
        <w:rPr>
          <w:rFonts w:ascii="Arial" w:hAnsi="Arial" w:cs="Arial"/>
          <w:sz w:val="22"/>
          <w:szCs w:val="22"/>
        </w:rPr>
        <w:t xml:space="preserve">1.  Using the Piccolo 100 </w:t>
      </w:r>
      <w:proofErr w:type="spellStart"/>
      <w:r w:rsidRPr="00DC5A3B">
        <w:rPr>
          <w:rFonts w:ascii="Arial" w:hAnsi="Arial" w:cs="Arial"/>
          <w:sz w:val="22"/>
          <w:szCs w:val="22"/>
        </w:rPr>
        <w:t>μl</w:t>
      </w:r>
      <w:proofErr w:type="spellEnd"/>
      <w:r w:rsidRPr="00DC5A3B">
        <w:rPr>
          <w:rFonts w:ascii="Arial" w:hAnsi="Arial" w:cs="Arial"/>
          <w:sz w:val="22"/>
          <w:szCs w:val="22"/>
        </w:rPr>
        <w:t xml:space="preserve"> volume pipette, firmly attach a new tip to the end of the pipette.</w:t>
      </w:r>
    </w:p>
    <w:p w:rsidR="00DC5A3B" w:rsidRPr="00DC5A3B" w:rsidRDefault="00DC5A3B" w:rsidP="00DC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A3B">
        <w:rPr>
          <w:rFonts w:ascii="Arial" w:hAnsi="Arial" w:cs="Arial"/>
          <w:sz w:val="22"/>
          <w:szCs w:val="22"/>
        </w:rPr>
        <w:t>2. With your index finger or thumb, push the pipette button to the stop position and hold it down for sample pickup.</w:t>
      </w:r>
    </w:p>
    <w:p w:rsidR="001446F2" w:rsidRPr="00DC5A3B" w:rsidRDefault="00DC5A3B" w:rsidP="00DC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A3B">
        <w:rPr>
          <w:rFonts w:ascii="Arial" w:hAnsi="Arial" w:cs="Arial"/>
          <w:sz w:val="22"/>
          <w:szCs w:val="22"/>
        </w:rPr>
        <w:t>3. Immerse the tip 2–3 mm below the surface of the sample as shown below</w:t>
      </w:r>
    </w:p>
    <w:p w:rsidR="00DC5A3B" w:rsidRDefault="00DC5A3B" w:rsidP="00DC5A3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8775" cy="18859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3B" w:rsidRDefault="00DC5A3B" w:rsidP="00DC5A3B">
      <w:pPr>
        <w:autoSpaceDE w:val="0"/>
        <w:autoSpaceDN w:val="0"/>
        <w:adjustRightInd w:val="0"/>
        <w:rPr>
          <w:rFonts w:ascii="Arial" w:hAnsi="Arial" w:cs="Arial"/>
        </w:rPr>
      </w:pPr>
    </w:p>
    <w:p w:rsidR="00DC5A3B" w:rsidRDefault="00DC5A3B" w:rsidP="00DC5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Slowly release the button to pick up the sample, pause then remove the pipette from the sample tube.</w:t>
      </w:r>
    </w:p>
    <w:p w:rsidR="00DC5A3B" w:rsidRDefault="00DC5A3B" w:rsidP="00DC5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sure there are no air bubbles or air gaps in the pipette tip</w:t>
      </w:r>
    </w:p>
    <w:p w:rsidR="00DC5A3B" w:rsidRPr="00DC5A3B" w:rsidRDefault="00DC5A3B" w:rsidP="00DC5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Place the pipette tip into the discs sample chamber at 45° so that the entire sample flows into the sample chamber, the tip should touch the sample chamber</w:t>
      </w:r>
    </w:p>
    <w:p w:rsidR="00DC5A3B" w:rsidRDefault="00DC5A3B" w:rsidP="00DC5A3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38275" cy="22098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3B" w:rsidRDefault="00DC5A3B" w:rsidP="00DC5A3B">
      <w:pPr>
        <w:autoSpaceDE w:val="0"/>
        <w:autoSpaceDN w:val="0"/>
        <w:adjustRightInd w:val="0"/>
        <w:rPr>
          <w:rFonts w:ascii="Arial" w:hAnsi="Arial" w:cs="Arial"/>
        </w:rPr>
      </w:pPr>
    </w:p>
    <w:p w:rsidR="00953D43" w:rsidRDefault="00953D4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Push the plunger down with a slow, continuous motion. Take care not to overfill the sample chamber</w:t>
      </w:r>
    </w:p>
    <w:p w:rsidR="00953D43" w:rsidRDefault="00953D4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Keep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pipette plunger pressed down until the pipette tip is removed from the sample chamber</w:t>
      </w:r>
    </w:p>
    <w:p w:rsidR="00953D43" w:rsidRDefault="00953D4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Discard the pipette tip into a </w:t>
      </w:r>
      <w:proofErr w:type="spellStart"/>
      <w:r>
        <w:rPr>
          <w:rFonts w:ascii="Arial" w:hAnsi="Arial" w:cs="Arial"/>
        </w:rPr>
        <w:t>sharpsafe</w:t>
      </w:r>
      <w:proofErr w:type="spellEnd"/>
      <w:r>
        <w:rPr>
          <w:rFonts w:ascii="Arial" w:hAnsi="Arial" w:cs="Arial"/>
        </w:rPr>
        <w:t>™</w:t>
      </w:r>
    </w:p>
    <w:p w:rsidR="00953D43" w:rsidRDefault="00953D4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Carry the prepared disc to the analyser. Hold the disc by it’s edges and keep level to avoid spills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Place the disc in the recessed area in the drawer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  <w:r>
        <w:rPr>
          <w:rFonts w:ascii="Arial" w:hAnsi="Arial" w:cs="Arial"/>
        </w:rPr>
        <w:t>. The analyser closes the drawer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Select the sample type from patient or control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Enter an ID number for the sample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Then select done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The analyser checks the disc type and begins processing the sample</w:t>
      </w:r>
    </w:p>
    <w:p w:rsidR="00D730A3" w:rsidRDefault="00D730A3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When the sample processing is complete the results will be printed automatically</w:t>
      </w:r>
    </w:p>
    <w:p w:rsidR="00D730A3" w:rsidRDefault="00866F26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 xml:space="preserve">open </w:t>
      </w:r>
      <w:r>
        <w:rPr>
          <w:rFonts w:ascii="Arial" w:hAnsi="Arial" w:cs="Arial"/>
        </w:rPr>
        <w:t>to open the disc drawer</w:t>
      </w:r>
    </w:p>
    <w:p w:rsidR="00866F26" w:rsidRDefault="00866F26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Remove the disc from the drawer and discard into a </w:t>
      </w:r>
      <w:proofErr w:type="spellStart"/>
      <w:r>
        <w:rPr>
          <w:rFonts w:ascii="Arial" w:hAnsi="Arial" w:cs="Arial"/>
        </w:rPr>
        <w:t>sharpsafe</w:t>
      </w:r>
      <w:proofErr w:type="spellEnd"/>
      <w:r>
        <w:rPr>
          <w:rFonts w:ascii="Arial" w:hAnsi="Arial" w:cs="Arial"/>
        </w:rPr>
        <w:t>™</w:t>
      </w:r>
    </w:p>
    <w:p w:rsidR="00866F26" w:rsidRDefault="00866F26" w:rsidP="00D730A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When finished select </w:t>
      </w:r>
      <w:r>
        <w:rPr>
          <w:rFonts w:ascii="Arial" w:hAnsi="Arial" w:cs="Arial"/>
          <w:b/>
        </w:rPr>
        <w:t xml:space="preserve">close </w:t>
      </w:r>
      <w:r>
        <w:rPr>
          <w:rFonts w:ascii="Arial" w:hAnsi="Arial" w:cs="Arial"/>
        </w:rPr>
        <w:t>to close the drawer and return the analyser to standby mode</w:t>
      </w:r>
    </w:p>
    <w:p w:rsidR="00D730A3" w:rsidRDefault="00D730A3" w:rsidP="00D730A3">
      <w:pPr>
        <w:autoSpaceDE w:val="0"/>
        <w:autoSpaceDN w:val="0"/>
        <w:adjustRightInd w:val="0"/>
        <w:ind w:left="-397"/>
        <w:rPr>
          <w:rFonts w:ascii="Arial" w:hAnsi="Arial" w:cs="Arial"/>
          <w:sz w:val="22"/>
          <w:szCs w:val="22"/>
        </w:rPr>
      </w:pPr>
      <w:r w:rsidRPr="00D730A3">
        <w:rPr>
          <w:rFonts w:ascii="Arial" w:hAnsi="Arial" w:cs="Arial"/>
          <w:sz w:val="22"/>
          <w:szCs w:val="22"/>
        </w:rPr>
        <w:t>.</w:t>
      </w:r>
    </w:p>
    <w:p w:rsidR="00D730A3" w:rsidRPr="00D730A3" w:rsidRDefault="00D730A3" w:rsidP="00D730A3">
      <w:pPr>
        <w:autoSpaceDE w:val="0"/>
        <w:autoSpaceDN w:val="0"/>
        <w:adjustRightInd w:val="0"/>
        <w:ind w:left="-397"/>
        <w:rPr>
          <w:rFonts w:ascii="Arial" w:hAnsi="Arial" w:cs="Arial"/>
          <w:sz w:val="22"/>
          <w:szCs w:val="22"/>
        </w:rPr>
      </w:pPr>
    </w:p>
    <w:p w:rsidR="00DC5A3B" w:rsidRPr="00DC5A3B" w:rsidRDefault="00DC5A3B" w:rsidP="00DC5A3B">
      <w:pPr>
        <w:autoSpaceDE w:val="0"/>
        <w:autoSpaceDN w:val="0"/>
        <w:adjustRightInd w:val="0"/>
        <w:rPr>
          <w:rFonts w:ascii="Arial" w:hAnsi="Arial" w:cs="Arial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8" w:name="_Toc481678992"/>
      <w:r w:rsidRPr="00415F6F">
        <w:rPr>
          <w:bCs/>
          <w:caps/>
        </w:rPr>
        <w:t>k) Quality control procedures</w:t>
      </w:r>
      <w:bookmarkEnd w:id="48"/>
    </w:p>
    <w:p w:rsidR="001446F2" w:rsidRDefault="001446F2" w:rsidP="001446F2"/>
    <w:p w:rsidR="001446F2" w:rsidRDefault="006A06F0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control material used is </w:t>
      </w:r>
      <w:proofErr w:type="spellStart"/>
      <w:r>
        <w:rPr>
          <w:rFonts w:ascii="Arial" w:hAnsi="Arial" w:cs="Arial"/>
          <w:sz w:val="22"/>
          <w:szCs w:val="22"/>
        </w:rPr>
        <w:t>Randox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Abaxis</w:t>
      </w:r>
      <w:proofErr w:type="spellEnd"/>
      <w:r>
        <w:rPr>
          <w:rFonts w:ascii="Arial" w:hAnsi="Arial" w:cs="Arial"/>
          <w:sz w:val="22"/>
          <w:szCs w:val="22"/>
        </w:rPr>
        <w:t xml:space="preserve"> chemistry control</w:t>
      </w:r>
      <w:r w:rsidR="009C0C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level 1 and 2, which are supplied lyophilised.</w:t>
      </w:r>
    </w:p>
    <w:p w:rsidR="009C0C14" w:rsidRDefault="009C0C14" w:rsidP="001446F2">
      <w:pPr>
        <w:rPr>
          <w:rFonts w:ascii="Arial" w:hAnsi="Arial" w:cs="Arial"/>
          <w:sz w:val="22"/>
          <w:szCs w:val="22"/>
        </w:rPr>
      </w:pPr>
    </w:p>
    <w:p w:rsidR="009C0C14" w:rsidRDefault="009C0C14" w:rsidP="001446F2">
      <w:pPr>
        <w:rPr>
          <w:rFonts w:ascii="Arial" w:hAnsi="Arial" w:cs="Arial"/>
          <w:sz w:val="22"/>
          <w:szCs w:val="22"/>
        </w:rPr>
      </w:pPr>
    </w:p>
    <w:p w:rsidR="009C0C14" w:rsidRDefault="009C0C14" w:rsidP="001446F2">
      <w:pPr>
        <w:rPr>
          <w:rFonts w:ascii="Arial" w:hAnsi="Arial" w:cs="Arial"/>
          <w:sz w:val="22"/>
          <w:szCs w:val="22"/>
        </w:rPr>
      </w:pPr>
    </w:p>
    <w:p w:rsidR="009C0C14" w:rsidRDefault="009C0C14" w:rsidP="001446F2">
      <w:pPr>
        <w:rPr>
          <w:rFonts w:ascii="Arial" w:hAnsi="Arial" w:cs="Arial"/>
          <w:sz w:val="22"/>
          <w:szCs w:val="22"/>
        </w:rPr>
      </w:pPr>
    </w:p>
    <w:p w:rsidR="009C0C14" w:rsidRDefault="009C0C14" w:rsidP="001446F2">
      <w:pPr>
        <w:rPr>
          <w:rFonts w:ascii="Arial" w:hAnsi="Arial" w:cs="Arial"/>
          <w:sz w:val="22"/>
          <w:szCs w:val="22"/>
        </w:rPr>
      </w:pPr>
    </w:p>
    <w:p w:rsidR="006A06F0" w:rsidRDefault="006A06F0" w:rsidP="001446F2">
      <w:pPr>
        <w:rPr>
          <w:rFonts w:ascii="Arial" w:hAnsi="Arial" w:cs="Arial"/>
          <w:sz w:val="22"/>
          <w:szCs w:val="22"/>
        </w:rPr>
      </w:pPr>
    </w:p>
    <w:p w:rsidR="006A06F0" w:rsidRDefault="006A06F0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reconstitute:</w:t>
      </w:r>
    </w:p>
    <w:p w:rsidR="006A06F0" w:rsidRDefault="006868D4" w:rsidP="006868D4">
      <w:pPr>
        <w:pStyle w:val="Default"/>
        <w:numPr>
          <w:ilvl w:val="0"/>
          <w:numId w:val="38"/>
        </w:numPr>
        <w:ind w:left="283"/>
        <w:rPr>
          <w:sz w:val="22"/>
          <w:szCs w:val="22"/>
        </w:rPr>
      </w:pPr>
      <w:r>
        <w:rPr>
          <w:sz w:val="22"/>
          <w:szCs w:val="22"/>
        </w:rPr>
        <w:t>Carefully</w:t>
      </w:r>
      <w:r w:rsidR="006A06F0">
        <w:rPr>
          <w:sz w:val="22"/>
          <w:szCs w:val="22"/>
        </w:rPr>
        <w:t xml:space="preserve"> pipette 1ml </w:t>
      </w:r>
      <w:proofErr w:type="spellStart"/>
      <w:r w:rsidR="006A06F0">
        <w:rPr>
          <w:sz w:val="22"/>
          <w:szCs w:val="22"/>
        </w:rPr>
        <w:t>diluent</w:t>
      </w:r>
      <w:proofErr w:type="spellEnd"/>
      <w:r w:rsidR="006A06F0">
        <w:rPr>
          <w:sz w:val="22"/>
          <w:szCs w:val="22"/>
        </w:rPr>
        <w:t xml:space="preserve"> into the serum vial </w:t>
      </w:r>
      <w:r>
        <w:rPr>
          <w:noProof/>
          <w:sz w:val="22"/>
          <w:szCs w:val="22"/>
        </w:rPr>
        <w:drawing>
          <wp:inline distT="0" distB="0" distL="0" distR="0">
            <wp:extent cx="1629410" cy="1774190"/>
            <wp:effectExtent l="19050" t="0" r="889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D4" w:rsidRDefault="00CC26DD" w:rsidP="00CC26DD">
      <w:pPr>
        <w:pStyle w:val="Default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Push the pipette button to the first stop and hold down. Release slowly to pick up </w:t>
      </w:r>
      <w:proofErr w:type="spellStart"/>
      <w:r>
        <w:rPr>
          <w:sz w:val="22"/>
          <w:szCs w:val="22"/>
        </w:rPr>
        <w:t>diluent</w:t>
      </w:r>
      <w:proofErr w:type="spellEnd"/>
      <w:r>
        <w:rPr>
          <w:sz w:val="22"/>
          <w:szCs w:val="22"/>
        </w:rPr>
        <w:t xml:space="preserve">. Push the pipette slowly to the second stop to dispense </w:t>
      </w:r>
      <w:proofErr w:type="spellStart"/>
      <w:r>
        <w:rPr>
          <w:sz w:val="22"/>
          <w:szCs w:val="22"/>
        </w:rPr>
        <w:t>diluent</w:t>
      </w:r>
      <w:proofErr w:type="spellEnd"/>
      <w:r>
        <w:rPr>
          <w:sz w:val="22"/>
          <w:szCs w:val="22"/>
        </w:rPr>
        <w:t xml:space="preserve"> into the serum vial.</w:t>
      </w:r>
    </w:p>
    <w:p w:rsidR="006868D4" w:rsidRDefault="006868D4" w:rsidP="006868D4">
      <w:pPr>
        <w:pStyle w:val="Default"/>
        <w:rPr>
          <w:sz w:val="22"/>
          <w:szCs w:val="22"/>
        </w:rPr>
      </w:pPr>
    </w:p>
    <w:p w:rsidR="006868D4" w:rsidRDefault="006868D4" w:rsidP="006868D4">
      <w:pPr>
        <w:pStyle w:val="Default"/>
        <w:rPr>
          <w:sz w:val="22"/>
          <w:szCs w:val="22"/>
        </w:rPr>
      </w:pPr>
    </w:p>
    <w:p w:rsidR="006868D4" w:rsidRDefault="006868D4" w:rsidP="006868D4">
      <w:pPr>
        <w:pStyle w:val="Default"/>
        <w:rPr>
          <w:sz w:val="22"/>
          <w:szCs w:val="22"/>
        </w:rPr>
      </w:pPr>
    </w:p>
    <w:p w:rsidR="006868D4" w:rsidRDefault="006868D4" w:rsidP="006868D4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Close the serum vial and invert gently several times </w:t>
      </w:r>
      <w:r>
        <w:rPr>
          <w:noProof/>
          <w:sz w:val="22"/>
          <w:szCs w:val="22"/>
        </w:rPr>
        <w:drawing>
          <wp:inline distT="0" distB="0" distL="0" distR="0">
            <wp:extent cx="1783715" cy="1937385"/>
            <wp:effectExtent l="19050" t="0" r="698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D4" w:rsidRDefault="006868D4" w:rsidP="006868D4">
      <w:pPr>
        <w:pStyle w:val="Default"/>
        <w:rPr>
          <w:sz w:val="22"/>
          <w:szCs w:val="22"/>
        </w:rPr>
      </w:pPr>
    </w:p>
    <w:p w:rsidR="006868D4" w:rsidRPr="00BC46E7" w:rsidRDefault="006868D4" w:rsidP="006868D4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Allow to stand for 30 minutes before use. Ensure contents are completely dissolved by swirling gently. Avoid formation of foam. Do not shake.</w:t>
      </w:r>
      <w:r w:rsidRPr="006868D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719216" cy="1836040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61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900285" cy="1908549"/>
            <wp:effectExtent l="19050" t="0" r="471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1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D4" w:rsidRDefault="006868D4" w:rsidP="006868D4">
      <w:pPr>
        <w:pStyle w:val="Default"/>
        <w:rPr>
          <w:sz w:val="22"/>
          <w:szCs w:val="22"/>
        </w:rPr>
      </w:pPr>
    </w:p>
    <w:p w:rsidR="006868D4" w:rsidRPr="006A06F0" w:rsidRDefault="006868D4" w:rsidP="006A06F0">
      <w:pPr>
        <w:pStyle w:val="Default"/>
        <w:rPr>
          <w:rFonts w:ascii="Gill Sans MT" w:hAnsi="Gill Sans MT" w:cs="Gill Sans MT"/>
        </w:rPr>
      </w:pPr>
    </w:p>
    <w:p w:rsidR="00BC46E7" w:rsidRPr="00BC46E7" w:rsidRDefault="006A06F0" w:rsidP="00BC46E7">
      <w:pPr>
        <w:pStyle w:val="Default"/>
        <w:rPr>
          <w:rFonts w:ascii="Gill Sans MT" w:hAnsi="Gill Sans MT" w:cs="Gill Sans MT"/>
        </w:rPr>
      </w:pPr>
      <w:r w:rsidRPr="006A06F0">
        <w:rPr>
          <w:rFonts w:ascii="Gill Sans MT" w:hAnsi="Gill Sans MT" w:cs="Gill Sans MT"/>
        </w:rPr>
        <w:t xml:space="preserve"> </w:t>
      </w:r>
    </w:p>
    <w:p w:rsidR="00BC46E7" w:rsidRPr="00BC46E7" w:rsidRDefault="00BC46E7" w:rsidP="00BC46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46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46E7">
        <w:rPr>
          <w:rFonts w:ascii="Arial" w:hAnsi="Arial" w:cs="Arial"/>
          <w:b/>
          <w:bCs/>
          <w:color w:val="000000"/>
          <w:sz w:val="22"/>
          <w:szCs w:val="22"/>
        </w:rPr>
        <w:t xml:space="preserve">STORAGE AND STABILITY </w:t>
      </w:r>
    </w:p>
    <w:p w:rsidR="00BC46E7" w:rsidRPr="00BC46E7" w:rsidRDefault="00BC46E7" w:rsidP="00BC46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46E7">
        <w:rPr>
          <w:rFonts w:ascii="Arial" w:hAnsi="Arial" w:cs="Arial"/>
          <w:color w:val="000000"/>
          <w:sz w:val="22"/>
          <w:szCs w:val="22"/>
        </w:rPr>
        <w:t>OPENED: Store refrigerated (+2ºC to +8ºC).</w:t>
      </w:r>
      <w:proofErr w:type="gramEnd"/>
      <w:r w:rsidRPr="00BC46E7">
        <w:rPr>
          <w:rFonts w:ascii="Arial" w:hAnsi="Arial" w:cs="Arial"/>
          <w:color w:val="000000"/>
          <w:sz w:val="22"/>
          <w:szCs w:val="22"/>
        </w:rPr>
        <w:t xml:space="preserve"> Reconstituted serum is stable for 8 hours at +15ºC to +25ºC or 7 days at +2ºC to +8ºC and 1 month when frozen once at -20º</w:t>
      </w:r>
      <w:proofErr w:type="gramStart"/>
      <w:r w:rsidRPr="00BC46E7">
        <w:rPr>
          <w:rFonts w:ascii="Arial" w:hAnsi="Arial" w:cs="Arial"/>
          <w:color w:val="000000"/>
          <w:sz w:val="22"/>
          <w:szCs w:val="22"/>
        </w:rPr>
        <w:t>C .</w:t>
      </w:r>
      <w:proofErr w:type="gramEnd"/>
      <w:r w:rsidRPr="00BC46E7">
        <w:rPr>
          <w:rFonts w:ascii="Arial" w:hAnsi="Arial" w:cs="Arial"/>
          <w:color w:val="000000"/>
          <w:sz w:val="22"/>
          <w:szCs w:val="22"/>
        </w:rPr>
        <w:t xml:space="preserve"> Only the required amount of product should be removed. After use, any residual product should NOT BE RETURNED to the original vial. </w:t>
      </w:r>
    </w:p>
    <w:p w:rsidR="006A06F0" w:rsidRDefault="00BC46E7" w:rsidP="00BC46E7">
      <w:pPr>
        <w:rPr>
          <w:rFonts w:ascii="Arial" w:hAnsi="Arial" w:cs="Arial"/>
          <w:sz w:val="22"/>
          <w:szCs w:val="22"/>
        </w:rPr>
      </w:pPr>
      <w:r w:rsidRPr="00BC46E7">
        <w:rPr>
          <w:rFonts w:ascii="Arial" w:hAnsi="Arial" w:cs="Arial"/>
          <w:color w:val="000000"/>
          <w:sz w:val="22"/>
          <w:szCs w:val="22"/>
        </w:rPr>
        <w:t>UNOPENED: Store refrigerated (+2ºC to +8ºC). Stable to expiration date printed on individual vials</w:t>
      </w:r>
      <w:r w:rsidRPr="00BC46E7">
        <w:rPr>
          <w:rFonts w:ascii="Gill Sans MT" w:hAnsi="Gill Sans MT" w:cs="Gill Sans MT"/>
          <w:color w:val="000000"/>
          <w:sz w:val="18"/>
          <w:szCs w:val="18"/>
        </w:rPr>
        <w:t>.</w:t>
      </w:r>
    </w:p>
    <w:p w:rsidR="006A06F0" w:rsidRDefault="006A06F0" w:rsidP="001446F2">
      <w:pPr>
        <w:rPr>
          <w:rFonts w:ascii="Arial" w:hAnsi="Arial" w:cs="Arial"/>
          <w:sz w:val="22"/>
          <w:szCs w:val="22"/>
        </w:rPr>
      </w:pPr>
    </w:p>
    <w:p w:rsidR="006A06F0" w:rsidRDefault="006A06F0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908F3" w:rsidRDefault="006908F3" w:rsidP="001446F2">
      <w:pPr>
        <w:rPr>
          <w:rFonts w:ascii="Arial" w:hAnsi="Arial" w:cs="Arial"/>
          <w:sz w:val="22"/>
          <w:szCs w:val="22"/>
        </w:rPr>
      </w:pPr>
    </w:p>
    <w:p w:rsidR="006A06F0" w:rsidRDefault="006A06F0" w:rsidP="001446F2">
      <w:pPr>
        <w:rPr>
          <w:rFonts w:ascii="Arial" w:hAnsi="Arial" w:cs="Arial"/>
          <w:sz w:val="22"/>
          <w:szCs w:val="22"/>
        </w:rPr>
      </w:pPr>
    </w:p>
    <w:p w:rsidR="006A06F0" w:rsidRDefault="006908F3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Quality controls (level 1 and 2) are run before the instrument is used at the donor hospital</w:t>
      </w:r>
    </w:p>
    <w:p w:rsidR="006908F3" w:rsidRDefault="006908F3" w:rsidP="006A06F0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4"/>
          <w:szCs w:val="24"/>
        </w:rPr>
      </w:pPr>
    </w:p>
    <w:p w:rsidR="006908F3" w:rsidRDefault="006908F3" w:rsidP="006A06F0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4"/>
          <w:szCs w:val="24"/>
        </w:rPr>
      </w:pPr>
    </w:p>
    <w:p w:rsidR="00D1403E" w:rsidRPr="006908F3" w:rsidRDefault="006908F3" w:rsidP="006A06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 run a QC</w:t>
      </w:r>
    </w:p>
    <w:p w:rsidR="00D1403E" w:rsidRDefault="006908F3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1. In the home screen, select ‘analyse’ to open the disc drawer</w:t>
      </w:r>
    </w:p>
    <w:p w:rsidR="006908F3" w:rsidRDefault="006908F3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08F3" w:rsidRPr="006908F3" w:rsidRDefault="006908F3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164080" cy="2589530"/>
            <wp:effectExtent l="19050" t="0" r="762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3E" w:rsidRDefault="00D1403E" w:rsidP="006A06F0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4"/>
          <w:szCs w:val="24"/>
        </w:rPr>
      </w:pPr>
    </w:p>
    <w:p w:rsidR="00D1403E" w:rsidRDefault="00D1403E" w:rsidP="006A06F0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4"/>
          <w:szCs w:val="24"/>
        </w:rPr>
      </w:pPr>
    </w:p>
    <w:p w:rsidR="00D1403E" w:rsidRDefault="006908F3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08F3">
        <w:rPr>
          <w:rFonts w:ascii="Arial" w:hAnsi="Arial" w:cs="Arial"/>
          <w:color w:val="000000"/>
          <w:sz w:val="22"/>
          <w:szCs w:val="22"/>
        </w:rPr>
        <w:t>2. S</w:t>
      </w:r>
      <w:r>
        <w:rPr>
          <w:rFonts w:ascii="Arial" w:hAnsi="Arial" w:cs="Arial"/>
          <w:color w:val="000000"/>
          <w:sz w:val="22"/>
          <w:szCs w:val="22"/>
        </w:rPr>
        <w:t>elect the control type to use</w:t>
      </w:r>
      <w:r w:rsidR="00E23D95">
        <w:rPr>
          <w:rFonts w:ascii="Arial" w:hAnsi="Arial" w:cs="Arial"/>
          <w:color w:val="000000"/>
          <w:sz w:val="22"/>
          <w:szCs w:val="22"/>
        </w:rPr>
        <w:t xml:space="preserve"> by using the up and down arrow keys</w:t>
      </w:r>
    </w:p>
    <w:p w:rsidR="00E23D95" w:rsidRDefault="00E23D95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23D95" w:rsidRDefault="00E23D95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730100" cy="2290527"/>
            <wp:effectExtent l="19050" t="0" r="34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38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0D" w:rsidRDefault="0065750D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5750D" w:rsidRDefault="0065750D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5750D" w:rsidRDefault="0065750D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Using the re</w:t>
      </w:r>
      <w:r w:rsidR="00970EE4">
        <w:rPr>
          <w:rFonts w:ascii="Arial" w:hAnsi="Arial" w:cs="Arial"/>
          <w:color w:val="000000"/>
          <w:sz w:val="22"/>
          <w:szCs w:val="22"/>
        </w:rPr>
        <w:t>constituted QC material analyse following steps 1 – 20 in running a patient sample</w:t>
      </w:r>
    </w:p>
    <w:p w:rsidR="0065750D" w:rsidRDefault="0065750D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5750D" w:rsidRDefault="0065750D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Once complete check the printout to make sure that the results are within the target range</w:t>
      </w:r>
    </w:p>
    <w:p w:rsidR="006908F3" w:rsidRPr="006908F3" w:rsidRDefault="006908F3" w:rsidP="006A06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A06F0" w:rsidRPr="001446F2" w:rsidRDefault="006A06F0" w:rsidP="006A06F0">
      <w:pPr>
        <w:rPr>
          <w:rFonts w:ascii="Arial" w:hAnsi="Arial" w:cs="Arial"/>
          <w:sz w:val="22"/>
          <w:szCs w:val="22"/>
        </w:rPr>
      </w:pPr>
      <w:r w:rsidRPr="006A06F0">
        <w:rPr>
          <w:rFonts w:ascii="Gill Sans MT" w:hAnsi="Gill Sans MT" w:cs="Gill Sans MT"/>
          <w:color w:val="000000"/>
          <w:sz w:val="24"/>
          <w:szCs w:val="24"/>
        </w:rPr>
        <w:t xml:space="preserve"> </w:t>
      </w: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49" w:name="_Toc481678993"/>
      <w:r w:rsidRPr="00415F6F">
        <w:rPr>
          <w:bCs/>
          <w:caps/>
        </w:rPr>
        <w:t>l) Interferences (e.g. lipaemia, haemolysis, bilirubinemia, drugs) and cross reactions</w:t>
      </w:r>
      <w:bookmarkEnd w:id="49"/>
    </w:p>
    <w:p w:rsidR="00CC26DD" w:rsidRDefault="00CC26DD" w:rsidP="00CC26DD"/>
    <w:p w:rsidR="0065750D" w:rsidRPr="0065750D" w:rsidRDefault="00BE146A" w:rsidP="00CC2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results that are affected by &gt;10% interference from haemolysis, </w:t>
      </w:r>
      <w:proofErr w:type="spellStart"/>
      <w:r>
        <w:rPr>
          <w:rFonts w:ascii="Arial" w:hAnsi="Arial" w:cs="Arial"/>
          <w:sz w:val="22"/>
          <w:szCs w:val="22"/>
        </w:rPr>
        <w:t>lipaemia</w:t>
      </w:r>
      <w:proofErr w:type="spellEnd"/>
      <w:r>
        <w:rPr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sz w:val="22"/>
          <w:szCs w:val="22"/>
        </w:rPr>
        <w:t>icterus</w:t>
      </w:r>
      <w:proofErr w:type="spellEnd"/>
      <w:r>
        <w:rPr>
          <w:rFonts w:ascii="Arial" w:hAnsi="Arial" w:cs="Arial"/>
          <w:sz w:val="22"/>
          <w:szCs w:val="22"/>
        </w:rPr>
        <w:t xml:space="preserve"> are suppressed and </w:t>
      </w:r>
      <w:r w:rsidR="00970EE4">
        <w:rPr>
          <w:rFonts w:ascii="Arial" w:hAnsi="Arial" w:cs="Arial"/>
          <w:sz w:val="22"/>
          <w:szCs w:val="22"/>
        </w:rPr>
        <w:t>HEM,</w:t>
      </w:r>
      <w:r>
        <w:rPr>
          <w:rFonts w:ascii="Arial" w:hAnsi="Arial" w:cs="Arial"/>
          <w:sz w:val="22"/>
          <w:szCs w:val="22"/>
        </w:rPr>
        <w:t xml:space="preserve"> LIP or ICT respectively are printed on the printout in place of the result.</w:t>
      </w:r>
    </w:p>
    <w:p w:rsidR="00CC26DD" w:rsidRDefault="00CC26DD" w:rsidP="00CC26DD">
      <w:pPr>
        <w:rPr>
          <w:rFonts w:ascii="Arial" w:hAnsi="Arial" w:cs="Arial"/>
          <w:sz w:val="22"/>
          <w:szCs w:val="22"/>
        </w:rPr>
      </w:pPr>
    </w:p>
    <w:p w:rsidR="00BE146A" w:rsidRPr="00CC26DD" w:rsidRDefault="00BE146A" w:rsidP="00CC2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complete list of interfering </w:t>
      </w:r>
      <w:r w:rsidR="000B686B">
        <w:rPr>
          <w:rFonts w:ascii="Arial" w:hAnsi="Arial" w:cs="Arial"/>
          <w:sz w:val="22"/>
          <w:szCs w:val="22"/>
        </w:rPr>
        <w:t>substances,</w:t>
      </w:r>
      <w:r>
        <w:rPr>
          <w:rFonts w:ascii="Arial" w:hAnsi="Arial" w:cs="Arial"/>
          <w:sz w:val="22"/>
          <w:szCs w:val="22"/>
        </w:rPr>
        <w:t xml:space="preserve"> please refer to the General Chemistry 13 package insert</w:t>
      </w:r>
      <w:r w:rsidR="004F7024">
        <w:rPr>
          <w:rFonts w:ascii="Arial" w:hAnsi="Arial" w:cs="Arial"/>
          <w:sz w:val="22"/>
          <w:szCs w:val="22"/>
        </w:rPr>
        <w:t xml:space="preserve"> POCT-EXT6</w:t>
      </w:r>
    </w:p>
    <w:p w:rsidR="001446F2" w:rsidRDefault="001446F2" w:rsidP="001446F2"/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50" w:name="_Toc481678994"/>
      <w:r w:rsidRPr="00415F6F">
        <w:rPr>
          <w:bCs/>
          <w:caps/>
        </w:rPr>
        <w:t>m) Principle of procedure for calculating results including, where relevant, the measurement uncertainty of measured quantity values</w:t>
      </w:r>
      <w:bookmarkEnd w:id="50"/>
    </w:p>
    <w:p w:rsidR="001446F2" w:rsidRDefault="001446F2" w:rsidP="001446F2"/>
    <w:p w:rsidR="00BE146A" w:rsidRPr="00BE146A" w:rsidRDefault="00BE146A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51" w:name="_Toc481678995"/>
      <w:r w:rsidRPr="00415F6F">
        <w:rPr>
          <w:bCs/>
          <w:caps/>
        </w:rPr>
        <w:t>n) Biological reference intervals or clinical decision values</w:t>
      </w:r>
      <w:bookmarkEnd w:id="51"/>
    </w:p>
    <w:p w:rsidR="001446F2" w:rsidRPr="006C2676" w:rsidRDefault="00845E6B" w:rsidP="001446F2">
      <w:pPr>
        <w:rPr>
          <w:color w:val="FF0000"/>
        </w:rPr>
      </w:pPr>
      <w:r>
        <w:tab/>
      </w:r>
      <w:r w:rsidR="006C2676">
        <w:tab/>
      </w:r>
      <w:r w:rsidR="006C2676">
        <w:tab/>
      </w:r>
      <w:r w:rsidR="006C2676">
        <w:tab/>
      </w:r>
      <w:r w:rsidR="006C2676">
        <w:tab/>
      </w:r>
      <w:r w:rsidR="006C2676">
        <w:tab/>
      </w:r>
      <w:r w:rsidR="006C2676">
        <w:tab/>
      </w:r>
      <w:r w:rsidR="006C2676">
        <w:tab/>
      </w:r>
      <w:r w:rsidR="006C2676">
        <w:tab/>
      </w:r>
    </w:p>
    <w:p w:rsidR="001446F2" w:rsidRDefault="00845E6B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Albumin</w:t>
      </w:r>
      <w:r>
        <w:rPr>
          <w:rFonts w:ascii="Arial" w:hAnsi="Arial" w:cs="Arial"/>
          <w:sz w:val="22"/>
          <w:szCs w:val="22"/>
        </w:rPr>
        <w:tab/>
      </w:r>
      <w:r w:rsidR="00970EE4">
        <w:rPr>
          <w:rFonts w:ascii="Arial" w:hAnsi="Arial" w:cs="Arial"/>
          <w:sz w:val="22"/>
          <w:szCs w:val="22"/>
        </w:rPr>
        <w:tab/>
      </w:r>
      <w:r w:rsidR="00970E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35 – 55 g/L</w:t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</w:p>
    <w:p w:rsidR="00970EE4" w:rsidRDefault="00970EE4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Alkaline </w:t>
      </w:r>
      <w:proofErr w:type="spellStart"/>
      <w:r>
        <w:rPr>
          <w:rFonts w:ascii="Arial" w:hAnsi="Arial" w:cs="Arial"/>
          <w:sz w:val="22"/>
          <w:szCs w:val="22"/>
        </w:rPr>
        <w:t>Phosphatase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42 – 141 U/L</w:t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</w:p>
    <w:p w:rsidR="00970EE4" w:rsidRDefault="00970EE4" w:rsidP="001446F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Alanine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Aminotransferase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10 – 47 U/L</w:t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</w:p>
    <w:p w:rsidR="00970EE4" w:rsidRDefault="00970EE4" w:rsidP="001446F2">
      <w:pPr>
        <w:rPr>
          <w:rFonts w:ascii="Arial" w:hAnsi="Arial" w:cs="Arial"/>
          <w:noProof/>
          <w:sz w:val="22"/>
          <w:szCs w:val="22"/>
        </w:rPr>
      </w:pPr>
      <w:r w:rsidRPr="00ED4556">
        <w:rPr>
          <w:rFonts w:ascii="Arial" w:hAnsi="Arial" w:cs="Arial"/>
          <w:noProof/>
          <w:sz w:val="22"/>
          <w:szCs w:val="22"/>
        </w:rPr>
        <w:t>Aspartate Aminotransferase</w:t>
      </w:r>
      <w:r>
        <w:rPr>
          <w:rFonts w:ascii="Arial" w:hAnsi="Arial" w:cs="Arial"/>
          <w:noProof/>
          <w:sz w:val="22"/>
          <w:szCs w:val="22"/>
        </w:rPr>
        <w:tab/>
        <w:t>11- 38 U/L</w:t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</w:p>
    <w:p w:rsidR="00970EE4" w:rsidRDefault="00970EE4" w:rsidP="001446F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Amylase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14 – 97 U/L</w:t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</w:p>
    <w:p w:rsidR="00970EE4" w:rsidRDefault="00970EE4" w:rsidP="001446F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Urea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2.5 – 7.9 mmol/L</w:t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</w:p>
    <w:p w:rsidR="00970EE4" w:rsidRDefault="00970EE4" w:rsidP="001446F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Calcium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2.00 – 2.58 mmol/L</w:t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  <w:r w:rsidR="006C2676">
        <w:rPr>
          <w:rFonts w:ascii="Arial" w:hAnsi="Arial" w:cs="Arial"/>
          <w:noProof/>
          <w:sz w:val="22"/>
          <w:szCs w:val="22"/>
        </w:rPr>
        <w:tab/>
      </w:r>
    </w:p>
    <w:p w:rsidR="00970EE4" w:rsidRDefault="00EC7BD7" w:rsidP="001446F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Creatinine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53 – 106 µmol/L</w:t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  <w:r w:rsidR="006C2676">
        <w:rPr>
          <w:rFonts w:ascii="Arial" w:hAnsi="Arial" w:cs="Arial"/>
          <w:sz w:val="22"/>
          <w:szCs w:val="22"/>
        </w:rPr>
        <w:tab/>
      </w:r>
    </w:p>
    <w:p w:rsidR="00EC7BD7" w:rsidRDefault="00EC7BD7" w:rsidP="00144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Gamma </w:t>
      </w:r>
      <w:proofErr w:type="spellStart"/>
      <w:r>
        <w:rPr>
          <w:rFonts w:ascii="Arial" w:hAnsi="Arial" w:cs="Arial"/>
        </w:rPr>
        <w:t>Glutamyltransferase</w:t>
      </w:r>
      <w:proofErr w:type="spellEnd"/>
      <w:r>
        <w:rPr>
          <w:rFonts w:ascii="Arial" w:hAnsi="Arial" w:cs="Arial"/>
        </w:rPr>
        <w:tab/>
        <w:t>5 – 65 U/L</w:t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</w:p>
    <w:p w:rsidR="00EC7BD7" w:rsidRDefault="00EC7BD7" w:rsidP="001446F2">
      <w:pPr>
        <w:rPr>
          <w:rFonts w:ascii="Arial" w:hAnsi="Arial" w:cs="Arial"/>
        </w:rPr>
      </w:pPr>
      <w:r>
        <w:rPr>
          <w:rFonts w:ascii="Arial" w:hAnsi="Arial" w:cs="Arial"/>
        </w:rPr>
        <w:t>Glucose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4.1 – 6.6</w:t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</w:p>
    <w:p w:rsidR="00EC7BD7" w:rsidRDefault="00EC7BD7" w:rsidP="001446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Bilirubin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– 27 µmol/L</w:t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</w:p>
    <w:p w:rsidR="00EC7BD7" w:rsidRDefault="00EC7BD7" w:rsidP="001446F2">
      <w:pPr>
        <w:rPr>
          <w:rFonts w:ascii="Arial" w:hAnsi="Arial" w:cs="Arial"/>
        </w:rPr>
      </w:pPr>
      <w:r>
        <w:rPr>
          <w:rFonts w:ascii="Arial" w:hAnsi="Arial" w:cs="Arial"/>
        </w:rPr>
        <w:t>Total Protein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 – 81 g/L</w:t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</w:p>
    <w:p w:rsidR="00EC7BD7" w:rsidRPr="001446F2" w:rsidRDefault="00EC7BD7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Uric Acid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2.2 – </w:t>
      </w:r>
      <w:r w:rsidR="006C2676">
        <w:rPr>
          <w:rFonts w:ascii="Arial" w:hAnsi="Arial" w:cs="Arial"/>
        </w:rPr>
        <w:t>8.0 mg/DL</w:t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  <w:r w:rsidR="006C2676">
        <w:rPr>
          <w:rFonts w:ascii="Arial" w:hAnsi="Arial" w:cs="Arial"/>
        </w:rPr>
        <w:tab/>
      </w:r>
    </w:p>
    <w:p w:rsidR="00765AA6" w:rsidRPr="0070495C" w:rsidRDefault="00765AA6" w:rsidP="0070495C">
      <w:pPr>
        <w:rPr>
          <w:rFonts w:ascii="Arial" w:hAnsi="Arial" w:cs="Arial"/>
          <w:sz w:val="22"/>
          <w:szCs w:val="22"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52" w:name="_Toc481678996"/>
      <w:r w:rsidRPr="00415F6F">
        <w:rPr>
          <w:bCs/>
          <w:caps/>
        </w:rPr>
        <w:t>o) Reportable interval of examination results</w:t>
      </w:r>
      <w:bookmarkEnd w:id="52"/>
    </w:p>
    <w:p w:rsidR="001446F2" w:rsidRDefault="001446F2" w:rsidP="001446F2"/>
    <w:p w:rsidR="00F94D9D" w:rsidRDefault="00F94D9D" w:rsidP="00F94D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Albumin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– 65 g/L</w:t>
      </w:r>
    </w:p>
    <w:p w:rsidR="00F94D9D" w:rsidRDefault="00F94D9D" w:rsidP="00F94D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Alkaline </w:t>
      </w:r>
      <w:proofErr w:type="spellStart"/>
      <w:r>
        <w:rPr>
          <w:rFonts w:ascii="Arial" w:hAnsi="Arial" w:cs="Arial"/>
          <w:sz w:val="22"/>
          <w:szCs w:val="22"/>
        </w:rPr>
        <w:t>Phosphatase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5 – 2400 U/L</w:t>
      </w:r>
    </w:p>
    <w:p w:rsidR="00F94D9D" w:rsidRDefault="00F94D9D" w:rsidP="00F94D9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Alanine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Aminotransferase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5 – 2000 U/L</w:t>
      </w:r>
    </w:p>
    <w:p w:rsidR="00F94D9D" w:rsidRDefault="00F94D9D" w:rsidP="00F94D9D">
      <w:pPr>
        <w:rPr>
          <w:rFonts w:ascii="Arial" w:hAnsi="Arial" w:cs="Arial"/>
          <w:noProof/>
          <w:sz w:val="22"/>
          <w:szCs w:val="22"/>
        </w:rPr>
      </w:pPr>
      <w:r w:rsidRPr="00ED4556">
        <w:rPr>
          <w:rFonts w:ascii="Arial" w:hAnsi="Arial" w:cs="Arial"/>
          <w:noProof/>
          <w:sz w:val="22"/>
          <w:szCs w:val="22"/>
        </w:rPr>
        <w:t>Aspartate Aminotransferase</w:t>
      </w:r>
      <w:r>
        <w:rPr>
          <w:rFonts w:ascii="Arial" w:hAnsi="Arial" w:cs="Arial"/>
          <w:noProof/>
          <w:sz w:val="22"/>
          <w:szCs w:val="22"/>
        </w:rPr>
        <w:tab/>
        <w:t>5 – 2000 U/L</w:t>
      </w:r>
    </w:p>
    <w:p w:rsidR="00F94D9D" w:rsidRDefault="00F94D9D" w:rsidP="00F94D9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Amylase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5 – 4000 U/L</w:t>
      </w:r>
    </w:p>
    <w:p w:rsidR="00F94D9D" w:rsidRDefault="00F94D9D" w:rsidP="00F94D9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Urea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0.7 – 64.3 mmol/L</w:t>
      </w:r>
    </w:p>
    <w:p w:rsidR="00F94D9D" w:rsidRDefault="00F94D9D" w:rsidP="00F94D9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Calcium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1 – 4 mmol/L</w:t>
      </w:r>
    </w:p>
    <w:p w:rsidR="00F94D9D" w:rsidRDefault="00F94D9D" w:rsidP="00F94D9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Creatinine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 – 1768 µmol/L</w:t>
      </w:r>
    </w:p>
    <w:p w:rsidR="00F94D9D" w:rsidRDefault="00F94D9D" w:rsidP="00F94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Gamma </w:t>
      </w:r>
      <w:proofErr w:type="spellStart"/>
      <w:r>
        <w:rPr>
          <w:rFonts w:ascii="Arial" w:hAnsi="Arial" w:cs="Arial"/>
        </w:rPr>
        <w:t>Glutamyltransferase</w:t>
      </w:r>
      <w:proofErr w:type="spellEnd"/>
      <w:r>
        <w:rPr>
          <w:rFonts w:ascii="Arial" w:hAnsi="Arial" w:cs="Arial"/>
        </w:rPr>
        <w:tab/>
        <w:t>5 – 3000 U/L</w:t>
      </w:r>
    </w:p>
    <w:p w:rsidR="00F94D9D" w:rsidRDefault="00F94D9D" w:rsidP="00F94D9D">
      <w:pPr>
        <w:rPr>
          <w:rFonts w:ascii="Arial" w:hAnsi="Arial" w:cs="Arial"/>
        </w:rPr>
      </w:pPr>
      <w:r>
        <w:rPr>
          <w:rFonts w:ascii="Arial" w:hAnsi="Arial" w:cs="Arial"/>
        </w:rPr>
        <w:t>Glucose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0.56 – 38.9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/L</w:t>
      </w:r>
    </w:p>
    <w:p w:rsidR="00F94D9D" w:rsidRDefault="00F94D9D" w:rsidP="00F94D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Bilirubin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1.7 – 513 µmol/L</w:t>
      </w:r>
    </w:p>
    <w:p w:rsidR="00F94D9D" w:rsidRDefault="00F94D9D" w:rsidP="00F94D9D">
      <w:pPr>
        <w:rPr>
          <w:rFonts w:ascii="Arial" w:hAnsi="Arial" w:cs="Arial"/>
        </w:rPr>
      </w:pPr>
      <w:r>
        <w:rPr>
          <w:rFonts w:ascii="Arial" w:hAnsi="Arial" w:cs="Arial"/>
        </w:rPr>
        <w:t>Total Protein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– 140 g/L</w:t>
      </w:r>
    </w:p>
    <w:p w:rsidR="00F94D9D" w:rsidRPr="00F94D9D" w:rsidRDefault="00F94D9D" w:rsidP="00F94D9D">
      <w:pPr>
        <w:pStyle w:val="Default"/>
        <w:rPr>
          <w:sz w:val="20"/>
          <w:szCs w:val="20"/>
        </w:rPr>
      </w:pPr>
      <w:r w:rsidRPr="00F94D9D">
        <w:rPr>
          <w:sz w:val="20"/>
          <w:szCs w:val="20"/>
        </w:rPr>
        <w:t>Uric Acid</w:t>
      </w:r>
      <w:r>
        <w:tab/>
      </w:r>
      <w:r>
        <w:tab/>
      </w:r>
      <w:r>
        <w:tab/>
      </w:r>
      <w:r w:rsidRPr="00F94D9D">
        <w:rPr>
          <w:sz w:val="20"/>
          <w:szCs w:val="20"/>
        </w:rPr>
        <w:t>1-15 mg/</w:t>
      </w:r>
      <w:proofErr w:type="spellStart"/>
      <w:r w:rsidRPr="00F94D9D">
        <w:rPr>
          <w:sz w:val="20"/>
          <w:szCs w:val="20"/>
        </w:rPr>
        <w:t>dL</w:t>
      </w:r>
      <w:proofErr w:type="spellEnd"/>
      <w:r w:rsidRPr="00F94D9D">
        <w:rPr>
          <w:sz w:val="20"/>
          <w:szCs w:val="20"/>
        </w:rPr>
        <w:t xml:space="preserve"> </w:t>
      </w:r>
    </w:p>
    <w:p w:rsidR="00F94D9D" w:rsidRPr="001446F2" w:rsidRDefault="00F94D9D" w:rsidP="00F94D9D">
      <w:pPr>
        <w:rPr>
          <w:rFonts w:ascii="Arial" w:hAnsi="Arial" w:cs="Arial"/>
          <w:sz w:val="22"/>
          <w:szCs w:val="22"/>
        </w:rPr>
      </w:pPr>
    </w:p>
    <w:p w:rsidR="00F94D9D" w:rsidRPr="0070495C" w:rsidRDefault="00F94D9D" w:rsidP="00F94D9D">
      <w:pPr>
        <w:rPr>
          <w:rFonts w:ascii="Arial" w:hAnsi="Arial" w:cs="Arial"/>
          <w:sz w:val="22"/>
          <w:szCs w:val="22"/>
        </w:rPr>
      </w:pPr>
    </w:p>
    <w:p w:rsidR="00F94D9D" w:rsidRDefault="00F94D9D" w:rsidP="001446F2"/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53" w:name="_Toc481678997"/>
      <w:r w:rsidRPr="00415F6F">
        <w:rPr>
          <w:bCs/>
          <w:caps/>
        </w:rPr>
        <w:t>p) Instructions for determining quantitative results when a result is not within the measurement interval</w:t>
      </w:r>
      <w:bookmarkEnd w:id="53"/>
    </w:p>
    <w:p w:rsidR="001446F2" w:rsidRDefault="001446F2" w:rsidP="00970EE4">
      <w:pPr>
        <w:jc w:val="center"/>
      </w:pPr>
    </w:p>
    <w:p w:rsidR="001446F2" w:rsidRPr="001446F2" w:rsidRDefault="00BB3A74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 result is </w:t>
      </w:r>
      <w:proofErr w:type="spellStart"/>
      <w:r>
        <w:rPr>
          <w:rFonts w:ascii="Arial" w:hAnsi="Arial" w:cs="Arial"/>
          <w:sz w:val="22"/>
          <w:szCs w:val="22"/>
        </w:rPr>
        <w:t>outwith</w:t>
      </w:r>
      <w:proofErr w:type="spellEnd"/>
      <w:r>
        <w:rPr>
          <w:rFonts w:ascii="Arial" w:hAnsi="Arial" w:cs="Arial"/>
          <w:sz w:val="22"/>
          <w:szCs w:val="22"/>
        </w:rPr>
        <w:t xml:space="preserve"> the measurement interval, a sample must be sent to the laboratory for confirmation</w:t>
      </w: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5B49D7" w:rsidP="00415F6F">
      <w:pPr>
        <w:pStyle w:val="Heading1"/>
        <w:rPr>
          <w:bCs/>
          <w:caps/>
        </w:rPr>
      </w:pPr>
      <w:bookmarkStart w:id="54" w:name="_Toc481678998"/>
      <w:r w:rsidRPr="00415F6F">
        <w:rPr>
          <w:bCs/>
          <w:caps/>
        </w:rPr>
        <w:t>q)  Alert/C</w:t>
      </w:r>
      <w:r w:rsidR="00765AA6" w:rsidRPr="00415F6F">
        <w:rPr>
          <w:bCs/>
          <w:caps/>
        </w:rPr>
        <w:t>ritical values, where appropriate</w:t>
      </w:r>
      <w:bookmarkEnd w:id="54"/>
    </w:p>
    <w:p w:rsidR="001446F2" w:rsidRDefault="001446F2" w:rsidP="001446F2"/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Default="00765AA6" w:rsidP="00415F6F">
      <w:pPr>
        <w:pStyle w:val="Heading1"/>
        <w:rPr>
          <w:bCs/>
          <w:caps/>
        </w:rPr>
      </w:pPr>
      <w:bookmarkStart w:id="55" w:name="_Toc481678999"/>
      <w:r w:rsidRPr="00415F6F">
        <w:rPr>
          <w:bCs/>
          <w:caps/>
        </w:rPr>
        <w:t>r) Laboratory clinical interpretation</w:t>
      </w:r>
      <w:bookmarkEnd w:id="55"/>
    </w:p>
    <w:p w:rsidR="001446F2" w:rsidRDefault="001446F2" w:rsidP="001446F2"/>
    <w:p w:rsidR="001446F2" w:rsidRPr="001446F2" w:rsidRDefault="00BB3A74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:rsidR="00765AA6" w:rsidRPr="00415F6F" w:rsidRDefault="00765AA6" w:rsidP="00415F6F">
      <w:pPr>
        <w:pStyle w:val="Heading1"/>
        <w:rPr>
          <w:bCs/>
          <w:caps/>
        </w:rPr>
      </w:pPr>
    </w:p>
    <w:p w:rsidR="00765AA6" w:rsidRPr="00415F6F" w:rsidRDefault="00765AA6" w:rsidP="00415F6F">
      <w:pPr>
        <w:pStyle w:val="Heading1"/>
        <w:rPr>
          <w:bCs/>
          <w:caps/>
        </w:rPr>
      </w:pPr>
      <w:bookmarkStart w:id="56" w:name="_Toc481679000"/>
      <w:r w:rsidRPr="00415F6F">
        <w:rPr>
          <w:bCs/>
          <w:caps/>
        </w:rPr>
        <w:t>s) P</w:t>
      </w:r>
      <w:r w:rsidR="002378E5" w:rsidRPr="00415F6F">
        <w:rPr>
          <w:bCs/>
          <w:caps/>
        </w:rPr>
        <w:t>otential sources of variation</w:t>
      </w:r>
      <w:bookmarkEnd w:id="56"/>
    </w:p>
    <w:p w:rsidR="00BF6103" w:rsidRPr="00BB3A74" w:rsidRDefault="00BF6103" w:rsidP="00415F6F">
      <w:pPr>
        <w:pStyle w:val="Heading1"/>
        <w:rPr>
          <w:b w:val="0"/>
          <w:bCs/>
          <w:caps/>
        </w:rPr>
      </w:pPr>
    </w:p>
    <w:p w:rsidR="001446F2" w:rsidRDefault="00BB3A74" w:rsidP="001446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Incorrect sample collection or collection</w:t>
      </w:r>
      <w:r w:rsidR="00A7502D">
        <w:rPr>
          <w:rFonts w:ascii="Arial" w:hAnsi="Arial" w:cs="Arial"/>
          <w:sz w:val="22"/>
          <w:szCs w:val="22"/>
        </w:rPr>
        <w:t xml:space="preserve"> into a tube</w:t>
      </w:r>
      <w:r>
        <w:rPr>
          <w:rFonts w:ascii="Arial" w:hAnsi="Arial" w:cs="Arial"/>
          <w:sz w:val="22"/>
          <w:szCs w:val="22"/>
        </w:rPr>
        <w:t xml:space="preserve"> with EDTA, fluoride oxalate</w:t>
      </w:r>
      <w:r w:rsidR="00A7502D">
        <w:rPr>
          <w:rFonts w:ascii="Arial" w:hAnsi="Arial" w:cs="Arial"/>
          <w:sz w:val="22"/>
          <w:szCs w:val="22"/>
        </w:rPr>
        <w:t xml:space="preserve"> or citrate as an anticoagulant will interfere with test results</w:t>
      </w:r>
    </w:p>
    <w:p w:rsidR="00BB3A74" w:rsidRPr="00BB3A74" w:rsidRDefault="00BB3A74" w:rsidP="001446F2">
      <w:pPr>
        <w:rPr>
          <w:rFonts w:ascii="Arial" w:hAnsi="Arial" w:cs="Arial"/>
          <w:sz w:val="22"/>
          <w:szCs w:val="22"/>
        </w:rPr>
      </w:pPr>
    </w:p>
    <w:p w:rsidR="001446F2" w:rsidRPr="001446F2" w:rsidRDefault="001446F2" w:rsidP="001446F2">
      <w:pPr>
        <w:rPr>
          <w:rFonts w:ascii="Arial" w:hAnsi="Arial" w:cs="Arial"/>
          <w:sz w:val="22"/>
          <w:szCs w:val="22"/>
        </w:rPr>
      </w:pPr>
    </w:p>
    <w:p w:rsidR="002378E5" w:rsidRPr="00415F6F" w:rsidRDefault="00BF6103" w:rsidP="00415F6F">
      <w:pPr>
        <w:pStyle w:val="Heading1"/>
        <w:rPr>
          <w:bCs/>
          <w:caps/>
        </w:rPr>
      </w:pPr>
      <w:bookmarkStart w:id="57" w:name="_Toc481679001"/>
      <w:r w:rsidRPr="00415F6F">
        <w:rPr>
          <w:bCs/>
          <w:caps/>
        </w:rPr>
        <w:t>t) references</w:t>
      </w:r>
      <w:bookmarkEnd w:id="57"/>
    </w:p>
    <w:p w:rsidR="002378E5" w:rsidRDefault="002378E5" w:rsidP="00765AA6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2378E5" w:rsidRDefault="00A7502D" w:rsidP="00765AA6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Piccolo Xpress User Operator’s Manual</w:t>
      </w:r>
      <w:r w:rsidR="004F7024">
        <w:rPr>
          <w:rFonts w:ascii="ArialMT" w:hAnsi="ArialMT" w:cs="ArialMT"/>
          <w:color w:val="000000"/>
        </w:rPr>
        <w:t xml:space="preserve"> POCT-EXT7</w:t>
      </w:r>
    </w:p>
    <w:p w:rsidR="009E1ECB" w:rsidRDefault="00A7502D" w:rsidP="001C1E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General Chemistry 13 Package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insert</w:t>
      </w:r>
      <w:proofErr w:type="gramEnd"/>
      <w:r w:rsidR="004F7024">
        <w:rPr>
          <w:rFonts w:ascii="Arial" w:hAnsi="Arial" w:cs="Arial"/>
          <w:color w:val="000000"/>
          <w:sz w:val="22"/>
          <w:szCs w:val="22"/>
        </w:rPr>
        <w:t xml:space="preserve"> POCT-EXT6</w:t>
      </w:r>
    </w:p>
    <w:p w:rsidR="004F7024" w:rsidRDefault="004F7024" w:rsidP="001C1E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Piccolo Chemistry 13 SDS POCT-SDS4</w:t>
      </w:r>
    </w:p>
    <w:p w:rsidR="004F7024" w:rsidRPr="001446F2" w:rsidRDefault="004F7024" w:rsidP="001C1E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Piccolo QC SDS POCT-SDS5</w:t>
      </w:r>
    </w:p>
    <w:sectPr w:rsidR="004F7024" w:rsidRPr="001446F2" w:rsidSect="00A524A4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5E" w:rsidRDefault="0047775E">
      <w:r>
        <w:separator/>
      </w:r>
    </w:p>
  </w:endnote>
  <w:endnote w:type="continuationSeparator" w:id="0">
    <w:p w:rsidR="0047775E" w:rsidRDefault="0047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246"/>
      <w:gridCol w:w="4276"/>
    </w:tblGrid>
    <w:tr w:rsidR="0047775E" w:rsidRPr="00DE61A3" w:rsidTr="00CB2BFF">
      <w:trPr>
        <w:cantSplit/>
        <w:trHeight w:val="284"/>
      </w:trPr>
      <w:tc>
        <w:tcPr>
          <w:tcW w:w="42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7775E" w:rsidRPr="00DE61A3" w:rsidRDefault="0047775E" w:rsidP="00CB2BFF">
          <w:pPr>
            <w:rPr>
              <w:rFonts w:ascii="Arial" w:hAnsi="Arial" w:cs="Arial"/>
              <w:b/>
              <w:bCs/>
              <w:sz w:val="16"/>
              <w:szCs w:val="16"/>
            </w:rPr>
          </w:pPr>
          <w:bookmarkStart w:id="58" w:name="DocStatus"/>
          <w:bookmarkEnd w:id="58"/>
          <w:r w:rsidRPr="00DE61A3">
            <w:rPr>
              <w:rFonts w:ascii="Arial" w:hAnsi="Arial" w:cs="Arial"/>
              <w:b/>
              <w:bCs/>
              <w:sz w:val="16"/>
              <w:szCs w:val="16"/>
            </w:rPr>
            <w:t>Autho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rity For Issue: Jennifer Brown</w:t>
          </w:r>
        </w:p>
      </w:tc>
      <w:tc>
        <w:tcPr>
          <w:tcW w:w="42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7775E" w:rsidRPr="00DE61A3" w:rsidRDefault="0047775E" w:rsidP="00CB2BF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E61A3">
            <w:rPr>
              <w:rFonts w:ascii="Arial" w:hAnsi="Arial" w:cs="Arial"/>
              <w:sz w:val="16"/>
              <w:szCs w:val="16"/>
            </w:rPr>
            <w:t xml:space="preserve">Page </w:t>
          </w:r>
          <w:r w:rsidR="006F7198" w:rsidRPr="00DE61A3">
            <w:rPr>
              <w:rFonts w:ascii="Arial" w:hAnsi="Arial" w:cs="Arial"/>
              <w:sz w:val="16"/>
              <w:szCs w:val="16"/>
            </w:rPr>
            <w:fldChar w:fldCharType="begin"/>
          </w:r>
          <w:r w:rsidRPr="00DE61A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F7198" w:rsidRPr="00DE61A3">
            <w:rPr>
              <w:rFonts w:ascii="Arial" w:hAnsi="Arial" w:cs="Arial"/>
              <w:sz w:val="16"/>
              <w:szCs w:val="16"/>
            </w:rPr>
            <w:fldChar w:fldCharType="separate"/>
          </w:r>
          <w:r w:rsidR="00763497">
            <w:rPr>
              <w:rFonts w:ascii="Arial" w:hAnsi="Arial" w:cs="Arial"/>
              <w:noProof/>
              <w:sz w:val="16"/>
              <w:szCs w:val="16"/>
            </w:rPr>
            <w:t>1</w:t>
          </w:r>
          <w:r w:rsidR="006F7198" w:rsidRPr="00DE61A3">
            <w:rPr>
              <w:rFonts w:ascii="Arial" w:hAnsi="Arial" w:cs="Arial"/>
              <w:sz w:val="16"/>
              <w:szCs w:val="16"/>
            </w:rPr>
            <w:fldChar w:fldCharType="end"/>
          </w:r>
          <w:r w:rsidRPr="00DE61A3">
            <w:rPr>
              <w:rFonts w:ascii="Arial" w:hAnsi="Arial" w:cs="Arial"/>
              <w:sz w:val="16"/>
              <w:szCs w:val="16"/>
            </w:rPr>
            <w:t xml:space="preserve"> of </w:t>
          </w:r>
          <w:r w:rsidR="006F7198" w:rsidRPr="00DE61A3">
            <w:rPr>
              <w:rFonts w:ascii="Arial" w:hAnsi="Arial" w:cs="Arial"/>
              <w:sz w:val="16"/>
              <w:szCs w:val="16"/>
            </w:rPr>
            <w:fldChar w:fldCharType="begin"/>
          </w:r>
          <w:r w:rsidRPr="00DE61A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F7198" w:rsidRPr="00DE61A3">
            <w:rPr>
              <w:rFonts w:ascii="Arial" w:hAnsi="Arial" w:cs="Arial"/>
              <w:sz w:val="16"/>
              <w:szCs w:val="16"/>
            </w:rPr>
            <w:fldChar w:fldCharType="separate"/>
          </w:r>
          <w:r w:rsidR="00763497">
            <w:rPr>
              <w:rFonts w:ascii="Arial" w:hAnsi="Arial" w:cs="Arial"/>
              <w:noProof/>
              <w:sz w:val="16"/>
              <w:szCs w:val="16"/>
            </w:rPr>
            <w:t>16</w:t>
          </w:r>
          <w:r w:rsidR="006F7198" w:rsidRPr="00DE61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7775E" w:rsidRPr="00DE61A3" w:rsidTr="00CB2BFF">
      <w:trPr>
        <w:cantSplit/>
        <w:trHeight w:val="284"/>
      </w:trPr>
      <w:tc>
        <w:tcPr>
          <w:tcW w:w="8522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7775E" w:rsidRPr="00C974E4" w:rsidRDefault="0047775E" w:rsidP="00CB2BFF">
          <w:pPr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Document printed from Q-pulse </w:t>
          </w:r>
          <w:r w:rsidR="006F7198"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PRINTDATE \@ "dd/MM/yyyy HH:mm:ss" </w:instrText>
          </w:r>
          <w:r w:rsidR="006F7198"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C974E4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00/00/0000 00:00:00</w:t>
          </w:r>
          <w:r w:rsidR="006F7198"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  <w:r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by </w:t>
          </w:r>
          <w:r w:rsidR="006F7198"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USERNAME  </w:instrText>
          </w:r>
          <w:r w:rsidR="006F7198"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C974E4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wendy.hannant</w:t>
          </w:r>
          <w:r w:rsidR="006F7198" w:rsidRPr="00C974E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47775E" w:rsidRPr="00DE61A3" w:rsidRDefault="0047775E" w:rsidP="0072464D">
    <w:pPr>
      <w:jc w:val="center"/>
      <w:rPr>
        <w:sz w:val="16"/>
        <w:szCs w:val="16"/>
      </w:rPr>
    </w:pPr>
    <w:r w:rsidRPr="00DE61A3">
      <w:rPr>
        <w:rFonts w:ascii="Arial" w:hAnsi="Arial" w:cs="Arial"/>
        <w:color w:val="FF0000"/>
        <w:sz w:val="16"/>
        <w:szCs w:val="16"/>
      </w:rPr>
      <w:t>This is a controlled document: This copy is valid on day of print only, after which the user must ensure that this is the correct version by comparing against the current document details in Q-Pulse</w:t>
    </w:r>
  </w:p>
  <w:p w:rsidR="0047775E" w:rsidRDefault="00477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5E" w:rsidRDefault="0047775E">
      <w:r>
        <w:separator/>
      </w:r>
    </w:p>
  </w:footnote>
  <w:footnote w:type="continuationSeparator" w:id="0">
    <w:p w:rsidR="0047775E" w:rsidRDefault="0047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5E" w:rsidRDefault="006F71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.4pt;height:117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260"/>
      <w:gridCol w:w="4680"/>
      <w:gridCol w:w="1260"/>
      <w:gridCol w:w="1080"/>
    </w:tblGrid>
    <w:tr w:rsidR="0047775E" w:rsidRPr="00806DE3" w:rsidTr="00806DE3"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7775E" w:rsidRPr="00806DE3" w:rsidRDefault="0047775E" w:rsidP="00507230">
          <w:pPr>
            <w:pStyle w:val="Header"/>
            <w:pBdr>
              <w:right w:val="single" w:sz="6" w:space="4" w:color="auto"/>
            </w:pBdr>
            <w:rPr>
              <w:rFonts w:ascii="Arial" w:hAnsi="Arial" w:cs="Arial"/>
              <w:sz w:val="16"/>
            </w:rPr>
          </w:pPr>
          <w:r w:rsidRPr="00806DE3">
            <w:rPr>
              <w:rFonts w:ascii="Arial" w:hAnsi="Arial" w:cs="Arial"/>
              <w:b/>
              <w:sz w:val="16"/>
            </w:rPr>
            <w:t>Document No.</w:t>
          </w:r>
        </w:p>
      </w:tc>
      <w:tc>
        <w:tcPr>
          <w:tcW w:w="46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7775E" w:rsidRPr="00806DE3" w:rsidRDefault="008C41E4" w:rsidP="00507230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POCT-SOP7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775E" w:rsidRPr="00806DE3" w:rsidRDefault="0047775E" w:rsidP="00507230">
          <w:pPr>
            <w:pStyle w:val="Header"/>
            <w:rPr>
              <w:rFonts w:ascii="Arial" w:hAnsi="Arial" w:cs="Arial"/>
              <w:b/>
              <w:sz w:val="16"/>
            </w:rPr>
          </w:pPr>
          <w:r w:rsidRPr="00806DE3">
            <w:rPr>
              <w:rFonts w:ascii="Arial" w:hAnsi="Arial" w:cs="Arial"/>
              <w:b/>
              <w:sz w:val="16"/>
            </w:rPr>
            <w:t>Version No.</w:t>
          </w:r>
        </w:p>
        <w:p w:rsidR="0047775E" w:rsidRPr="00806DE3" w:rsidRDefault="0047775E" w:rsidP="00507230">
          <w:pPr>
            <w:pStyle w:val="Header"/>
            <w:rPr>
              <w:rFonts w:ascii="Arial" w:hAnsi="Arial" w:cs="Arial"/>
              <w:b/>
              <w:sz w:val="16"/>
            </w:rPr>
          </w:pPr>
          <w:r w:rsidRPr="00806DE3">
            <w:rPr>
              <w:rFonts w:ascii="Arial" w:hAnsi="Arial" w:cs="Arial"/>
              <w:b/>
              <w:sz w:val="16"/>
            </w:rPr>
            <w:t>Issue Date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775E" w:rsidRDefault="0047775E" w:rsidP="00507230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  <w:p w:rsidR="008C41E4" w:rsidRPr="00806DE3" w:rsidRDefault="008C41E4" w:rsidP="00507230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09/03/2018</w:t>
          </w:r>
        </w:p>
      </w:tc>
    </w:tr>
  </w:tbl>
  <w:p w:rsidR="0047775E" w:rsidRDefault="004777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5E" w:rsidRDefault="006F71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.4pt;height:117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2F8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A813A9"/>
    <w:multiLevelType w:val="multilevel"/>
    <w:tmpl w:val="F918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67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">
    <w:nsid w:val="0F54351A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1D718C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">
    <w:nsid w:val="137F2B3A"/>
    <w:multiLevelType w:val="multilevel"/>
    <w:tmpl w:val="76C024EA"/>
    <w:lvl w:ilvl="0">
      <w:start w:val="2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28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6">
    <w:nsid w:val="15B15E22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115E3E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F791992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AA076F7"/>
    <w:multiLevelType w:val="multilevel"/>
    <w:tmpl w:val="4CC47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B39701B"/>
    <w:multiLevelType w:val="hybridMultilevel"/>
    <w:tmpl w:val="0B9E2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12673"/>
    <w:multiLevelType w:val="multilevel"/>
    <w:tmpl w:val="6BBC84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8F4795"/>
    <w:multiLevelType w:val="hybridMultilevel"/>
    <w:tmpl w:val="4C56D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7EB4"/>
    <w:multiLevelType w:val="multilevel"/>
    <w:tmpl w:val="4CC47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9D4245"/>
    <w:multiLevelType w:val="hybridMultilevel"/>
    <w:tmpl w:val="1180C824"/>
    <w:lvl w:ilvl="0" w:tplc="844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46917"/>
    <w:multiLevelType w:val="hybridMultilevel"/>
    <w:tmpl w:val="AE0E0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54E3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C2C1B70"/>
    <w:multiLevelType w:val="hybridMultilevel"/>
    <w:tmpl w:val="76645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A14F3"/>
    <w:multiLevelType w:val="multilevel"/>
    <w:tmpl w:val="0B9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228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3322A1E"/>
    <w:multiLevelType w:val="multilevel"/>
    <w:tmpl w:val="4CC472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453A1688"/>
    <w:multiLevelType w:val="multilevel"/>
    <w:tmpl w:val="4CC472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2">
    <w:nsid w:val="47210391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2375931"/>
    <w:multiLevelType w:val="hybridMultilevel"/>
    <w:tmpl w:val="587AC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86156"/>
    <w:multiLevelType w:val="multilevel"/>
    <w:tmpl w:val="2CD2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AE07AD7"/>
    <w:multiLevelType w:val="multilevel"/>
    <w:tmpl w:val="B154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A0C35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1E66E5C"/>
    <w:multiLevelType w:val="multilevel"/>
    <w:tmpl w:val="2CD2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356213"/>
    <w:multiLevelType w:val="multilevel"/>
    <w:tmpl w:val="6BBC84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98056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CB7CC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DF0AC9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B1C62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3414F4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6781ABC"/>
    <w:multiLevelType w:val="hybridMultilevel"/>
    <w:tmpl w:val="5C06E1DA"/>
    <w:lvl w:ilvl="0" w:tplc="46AA6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A3EB1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8372598"/>
    <w:multiLevelType w:val="hybridMultilevel"/>
    <w:tmpl w:val="65E0B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92498"/>
    <w:multiLevelType w:val="multilevel"/>
    <w:tmpl w:val="E8220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3"/>
  </w:num>
  <w:num w:numId="5">
    <w:abstractNumId w:val="18"/>
  </w:num>
  <w:num w:numId="6">
    <w:abstractNumId w:val="17"/>
  </w:num>
  <w:num w:numId="7">
    <w:abstractNumId w:val="25"/>
  </w:num>
  <w:num w:numId="8">
    <w:abstractNumId w:val="31"/>
  </w:num>
  <w:num w:numId="9">
    <w:abstractNumId w:val="19"/>
  </w:num>
  <w:num w:numId="10">
    <w:abstractNumId w:val="8"/>
  </w:num>
  <w:num w:numId="11">
    <w:abstractNumId w:val="27"/>
  </w:num>
  <w:num w:numId="12">
    <w:abstractNumId w:val="24"/>
  </w:num>
  <w:num w:numId="13">
    <w:abstractNumId w:val="35"/>
  </w:num>
  <w:num w:numId="14">
    <w:abstractNumId w:val="26"/>
  </w:num>
  <w:num w:numId="15">
    <w:abstractNumId w:val="0"/>
  </w:num>
  <w:num w:numId="16">
    <w:abstractNumId w:val="6"/>
  </w:num>
  <w:num w:numId="17">
    <w:abstractNumId w:val="37"/>
  </w:num>
  <w:num w:numId="18">
    <w:abstractNumId w:val="5"/>
  </w:num>
  <w:num w:numId="19">
    <w:abstractNumId w:val="29"/>
  </w:num>
  <w:num w:numId="20">
    <w:abstractNumId w:val="9"/>
  </w:num>
  <w:num w:numId="21">
    <w:abstractNumId w:val="22"/>
  </w:num>
  <w:num w:numId="22">
    <w:abstractNumId w:val="3"/>
  </w:num>
  <w:num w:numId="23">
    <w:abstractNumId w:val="7"/>
  </w:num>
  <w:num w:numId="24">
    <w:abstractNumId w:val="13"/>
  </w:num>
  <w:num w:numId="25">
    <w:abstractNumId w:val="21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1"/>
  </w:num>
  <w:num w:numId="31">
    <w:abstractNumId w:val="28"/>
  </w:num>
  <w:num w:numId="32">
    <w:abstractNumId w:val="30"/>
  </w:num>
  <w:num w:numId="33">
    <w:abstractNumId w:val="32"/>
  </w:num>
  <w:num w:numId="34">
    <w:abstractNumId w:val="16"/>
  </w:num>
  <w:num w:numId="35">
    <w:abstractNumId w:val="34"/>
  </w:num>
  <w:num w:numId="36">
    <w:abstractNumId w:val="14"/>
  </w:num>
  <w:num w:numId="37">
    <w:abstractNumId w:val="2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ECB"/>
    <w:rsid w:val="00004552"/>
    <w:rsid w:val="00013218"/>
    <w:rsid w:val="00021687"/>
    <w:rsid w:val="0005366E"/>
    <w:rsid w:val="0007718D"/>
    <w:rsid w:val="00080F36"/>
    <w:rsid w:val="000A4EC9"/>
    <w:rsid w:val="000B686B"/>
    <w:rsid w:val="000C0E8F"/>
    <w:rsid w:val="000D1C5B"/>
    <w:rsid w:val="000D29B1"/>
    <w:rsid w:val="000F1BA2"/>
    <w:rsid w:val="000F7E1D"/>
    <w:rsid w:val="00110B04"/>
    <w:rsid w:val="001234E1"/>
    <w:rsid w:val="00127244"/>
    <w:rsid w:val="001446F2"/>
    <w:rsid w:val="00152A6D"/>
    <w:rsid w:val="0016084D"/>
    <w:rsid w:val="00182A98"/>
    <w:rsid w:val="001C1E54"/>
    <w:rsid w:val="001E5BCB"/>
    <w:rsid w:val="00224896"/>
    <w:rsid w:val="002270C5"/>
    <w:rsid w:val="002378E5"/>
    <w:rsid w:val="00240235"/>
    <w:rsid w:val="0024214E"/>
    <w:rsid w:val="002D7D1D"/>
    <w:rsid w:val="002E1D6E"/>
    <w:rsid w:val="002E2117"/>
    <w:rsid w:val="002F0187"/>
    <w:rsid w:val="002F1056"/>
    <w:rsid w:val="002F2C19"/>
    <w:rsid w:val="003077B3"/>
    <w:rsid w:val="00334FD3"/>
    <w:rsid w:val="00357DF7"/>
    <w:rsid w:val="00380CBA"/>
    <w:rsid w:val="0039623B"/>
    <w:rsid w:val="003D5C2B"/>
    <w:rsid w:val="003E2343"/>
    <w:rsid w:val="00401FD3"/>
    <w:rsid w:val="00402D93"/>
    <w:rsid w:val="00415F6F"/>
    <w:rsid w:val="0043448C"/>
    <w:rsid w:val="00437734"/>
    <w:rsid w:val="00460F53"/>
    <w:rsid w:val="00463502"/>
    <w:rsid w:val="0047628C"/>
    <w:rsid w:val="0047775E"/>
    <w:rsid w:val="00484996"/>
    <w:rsid w:val="004859CD"/>
    <w:rsid w:val="00492048"/>
    <w:rsid w:val="004E184F"/>
    <w:rsid w:val="004E6EC4"/>
    <w:rsid w:val="004F01C0"/>
    <w:rsid w:val="004F7024"/>
    <w:rsid w:val="0050253A"/>
    <w:rsid w:val="00506767"/>
    <w:rsid w:val="00507230"/>
    <w:rsid w:val="0055788D"/>
    <w:rsid w:val="00575CBA"/>
    <w:rsid w:val="00575E66"/>
    <w:rsid w:val="005919D4"/>
    <w:rsid w:val="00591F5B"/>
    <w:rsid w:val="00592D9D"/>
    <w:rsid w:val="005B49D7"/>
    <w:rsid w:val="005D16B4"/>
    <w:rsid w:val="005E1508"/>
    <w:rsid w:val="00607225"/>
    <w:rsid w:val="00612A7D"/>
    <w:rsid w:val="006237A7"/>
    <w:rsid w:val="00635F43"/>
    <w:rsid w:val="00637463"/>
    <w:rsid w:val="0065025C"/>
    <w:rsid w:val="0065750D"/>
    <w:rsid w:val="00671F5F"/>
    <w:rsid w:val="00677C07"/>
    <w:rsid w:val="0068152D"/>
    <w:rsid w:val="006868D4"/>
    <w:rsid w:val="006908F3"/>
    <w:rsid w:val="00692F71"/>
    <w:rsid w:val="00697F37"/>
    <w:rsid w:val="006A06F0"/>
    <w:rsid w:val="006B13C6"/>
    <w:rsid w:val="006C2676"/>
    <w:rsid w:val="006E3EA3"/>
    <w:rsid w:val="006F7198"/>
    <w:rsid w:val="0070495C"/>
    <w:rsid w:val="0072464D"/>
    <w:rsid w:val="00753A15"/>
    <w:rsid w:val="00763497"/>
    <w:rsid w:val="00765AA6"/>
    <w:rsid w:val="007A50DD"/>
    <w:rsid w:val="007C2234"/>
    <w:rsid w:val="007D5660"/>
    <w:rsid w:val="007D739A"/>
    <w:rsid w:val="007F56FC"/>
    <w:rsid w:val="00806DE3"/>
    <w:rsid w:val="00817825"/>
    <w:rsid w:val="00824C8B"/>
    <w:rsid w:val="00830650"/>
    <w:rsid w:val="00845E6B"/>
    <w:rsid w:val="00860267"/>
    <w:rsid w:val="008655D2"/>
    <w:rsid w:val="00866F26"/>
    <w:rsid w:val="00884E32"/>
    <w:rsid w:val="008A7177"/>
    <w:rsid w:val="008C41E4"/>
    <w:rsid w:val="00902EF7"/>
    <w:rsid w:val="00926107"/>
    <w:rsid w:val="00946E5A"/>
    <w:rsid w:val="00947B6D"/>
    <w:rsid w:val="00953D43"/>
    <w:rsid w:val="009540C5"/>
    <w:rsid w:val="00960861"/>
    <w:rsid w:val="00970EE4"/>
    <w:rsid w:val="00992CC5"/>
    <w:rsid w:val="009956EA"/>
    <w:rsid w:val="009C0C14"/>
    <w:rsid w:val="009D7C98"/>
    <w:rsid w:val="009E0FC7"/>
    <w:rsid w:val="009E1ECB"/>
    <w:rsid w:val="00A20EF1"/>
    <w:rsid w:val="00A331D0"/>
    <w:rsid w:val="00A36BDE"/>
    <w:rsid w:val="00A524A4"/>
    <w:rsid w:val="00A52858"/>
    <w:rsid w:val="00A55C53"/>
    <w:rsid w:val="00A71BDF"/>
    <w:rsid w:val="00A7502D"/>
    <w:rsid w:val="00A761DE"/>
    <w:rsid w:val="00A90014"/>
    <w:rsid w:val="00A9550D"/>
    <w:rsid w:val="00AB5EB6"/>
    <w:rsid w:val="00AF503D"/>
    <w:rsid w:val="00B061F1"/>
    <w:rsid w:val="00B11979"/>
    <w:rsid w:val="00B239B8"/>
    <w:rsid w:val="00B2476A"/>
    <w:rsid w:val="00B534CE"/>
    <w:rsid w:val="00B929AA"/>
    <w:rsid w:val="00BA4D9B"/>
    <w:rsid w:val="00BB3A74"/>
    <w:rsid w:val="00BB56D0"/>
    <w:rsid w:val="00BC46E7"/>
    <w:rsid w:val="00BE146A"/>
    <w:rsid w:val="00BF0C1B"/>
    <w:rsid w:val="00BF5F4D"/>
    <w:rsid w:val="00BF6103"/>
    <w:rsid w:val="00C10DDA"/>
    <w:rsid w:val="00C276F8"/>
    <w:rsid w:val="00C463AC"/>
    <w:rsid w:val="00C477C9"/>
    <w:rsid w:val="00C535B6"/>
    <w:rsid w:val="00C53EAD"/>
    <w:rsid w:val="00C654B0"/>
    <w:rsid w:val="00C71BC1"/>
    <w:rsid w:val="00C94AB0"/>
    <w:rsid w:val="00C95933"/>
    <w:rsid w:val="00C974E4"/>
    <w:rsid w:val="00CA4442"/>
    <w:rsid w:val="00CA692B"/>
    <w:rsid w:val="00CB2BFF"/>
    <w:rsid w:val="00CC26DD"/>
    <w:rsid w:val="00D120DC"/>
    <w:rsid w:val="00D1403E"/>
    <w:rsid w:val="00D14651"/>
    <w:rsid w:val="00D15E93"/>
    <w:rsid w:val="00D730A3"/>
    <w:rsid w:val="00D75188"/>
    <w:rsid w:val="00DA2EB4"/>
    <w:rsid w:val="00DC2C7C"/>
    <w:rsid w:val="00DC5A3B"/>
    <w:rsid w:val="00DD4B33"/>
    <w:rsid w:val="00DE61A3"/>
    <w:rsid w:val="00E020A3"/>
    <w:rsid w:val="00E057F7"/>
    <w:rsid w:val="00E21D17"/>
    <w:rsid w:val="00E23D95"/>
    <w:rsid w:val="00E2603C"/>
    <w:rsid w:val="00E44BA8"/>
    <w:rsid w:val="00E749CC"/>
    <w:rsid w:val="00E9193A"/>
    <w:rsid w:val="00E9302C"/>
    <w:rsid w:val="00EA1531"/>
    <w:rsid w:val="00EA27E0"/>
    <w:rsid w:val="00EC1619"/>
    <w:rsid w:val="00EC7BD7"/>
    <w:rsid w:val="00ED4556"/>
    <w:rsid w:val="00EF0F29"/>
    <w:rsid w:val="00F040CD"/>
    <w:rsid w:val="00F0713B"/>
    <w:rsid w:val="00F17323"/>
    <w:rsid w:val="00F76F72"/>
    <w:rsid w:val="00F94D9D"/>
    <w:rsid w:val="00FB140A"/>
    <w:rsid w:val="00FC0BA3"/>
    <w:rsid w:val="00FD70F5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CB"/>
  </w:style>
  <w:style w:type="paragraph" w:styleId="Heading1">
    <w:name w:val="heading 1"/>
    <w:basedOn w:val="Normal"/>
    <w:next w:val="Normal"/>
    <w:qFormat/>
    <w:rsid w:val="009E1ECB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865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1E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1ECB"/>
    <w:pPr>
      <w:keepNext/>
      <w:pBdr>
        <w:right w:val="single" w:sz="6" w:space="0" w:color="auto"/>
      </w:pBdr>
      <w:jc w:val="center"/>
      <w:outlineLvl w:val="3"/>
    </w:pPr>
    <w:rPr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9E1E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  <w:lang w:val="en-US" w:eastAsia="en-US"/>
    </w:rPr>
  </w:style>
  <w:style w:type="paragraph" w:styleId="Heading8">
    <w:name w:val="heading 8"/>
    <w:basedOn w:val="Normal"/>
    <w:next w:val="Normal"/>
    <w:qFormat/>
    <w:rsid w:val="00765AA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mentTitles">
    <w:name w:val="Amendment Titles"/>
    <w:rsid w:val="009E1ECB"/>
    <w:rPr>
      <w:rFonts w:ascii="Arial" w:hAnsi="Arial"/>
      <w:b/>
      <w:sz w:val="18"/>
      <w:lang w:eastAsia="en-US"/>
    </w:rPr>
  </w:style>
  <w:style w:type="paragraph" w:customStyle="1" w:styleId="StaffReviewTitles">
    <w:name w:val="Staff Review Titles"/>
    <w:basedOn w:val="Normal"/>
    <w:rsid w:val="009E1ECB"/>
    <w:pPr>
      <w:spacing w:before="120" w:after="60"/>
      <w:jc w:val="center"/>
      <w:outlineLvl w:val="1"/>
    </w:pPr>
    <w:rPr>
      <w:rFonts w:ascii="Arial" w:hAnsi="Arial"/>
      <w:b/>
      <w:kern w:val="28"/>
      <w:sz w:val="22"/>
      <w:lang w:eastAsia="en-US"/>
    </w:rPr>
  </w:style>
  <w:style w:type="paragraph" w:styleId="TOC3">
    <w:name w:val="toc 3"/>
    <w:basedOn w:val="Normal"/>
    <w:next w:val="Normal"/>
    <w:autoRedefine/>
    <w:semiHidden/>
    <w:rsid w:val="009E1ECB"/>
    <w:pPr>
      <w:tabs>
        <w:tab w:val="right" w:leader="dot" w:pos="8296"/>
      </w:tabs>
    </w:pPr>
    <w:rPr>
      <w:noProof/>
    </w:rPr>
  </w:style>
  <w:style w:type="paragraph" w:styleId="FootnoteText">
    <w:name w:val="footnote text"/>
    <w:basedOn w:val="Normal"/>
    <w:semiHidden/>
    <w:rsid w:val="009E1ECB"/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FC0BA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9E1ECB"/>
    <w:rPr>
      <w:color w:val="0000FF"/>
      <w:u w:val="single"/>
    </w:rPr>
  </w:style>
  <w:style w:type="paragraph" w:styleId="Header">
    <w:name w:val="header"/>
    <w:basedOn w:val="Normal"/>
    <w:rsid w:val="009E1E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1EC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E1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104"/>
        <w:tab w:val="left" w:pos="5760"/>
        <w:tab w:val="left" w:pos="6480"/>
        <w:tab w:val="left" w:pos="7200"/>
        <w:tab w:val="left" w:pos="7920"/>
      </w:tabs>
      <w:ind w:right="-288"/>
    </w:pPr>
    <w:rPr>
      <w:rFonts w:ascii="Arial" w:hAnsi="Arial" w:cs="Arial"/>
      <w:iCs/>
      <w:sz w:val="22"/>
    </w:rPr>
  </w:style>
  <w:style w:type="paragraph" w:styleId="ListParagraph">
    <w:name w:val="List Paragraph"/>
    <w:basedOn w:val="Normal"/>
    <w:qFormat/>
    <w:rsid w:val="00765AA6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020A3"/>
    <w:rPr>
      <w:color w:val="606420"/>
      <w:u w:val="single"/>
    </w:rPr>
  </w:style>
  <w:style w:type="paragraph" w:styleId="BalloonText">
    <w:name w:val="Balloon Text"/>
    <w:basedOn w:val="Normal"/>
    <w:semiHidden/>
    <w:rsid w:val="00C94AB0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8655D2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1C1E54"/>
    <w:pPr>
      <w:ind w:left="72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94AB0"/>
    <w:rPr>
      <w:sz w:val="16"/>
      <w:szCs w:val="16"/>
    </w:rPr>
  </w:style>
  <w:style w:type="paragraph" w:styleId="CommentText">
    <w:name w:val="annotation text"/>
    <w:basedOn w:val="Normal"/>
    <w:semiHidden/>
    <w:rsid w:val="00C94AB0"/>
  </w:style>
  <w:style w:type="paragraph" w:styleId="CommentSubject">
    <w:name w:val="annotation subject"/>
    <w:basedOn w:val="CommentText"/>
    <w:next w:val="CommentText"/>
    <w:semiHidden/>
    <w:rsid w:val="00C94AB0"/>
    <w:rPr>
      <w:b/>
      <w:bCs/>
    </w:rPr>
  </w:style>
  <w:style w:type="table" w:styleId="TableGrid">
    <w:name w:val="Table Grid"/>
    <w:basedOn w:val="TableNormal"/>
    <w:rsid w:val="00A36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D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0F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2F81DEB3AA4D9CAC9DB53E895380" ma:contentTypeVersion="1" ma:contentTypeDescription="Create a new document." ma:contentTypeScope="" ma:versionID="fac1621433daeab87749e0e30e2fac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7DECC-D2E5-4319-851B-E8914362119C}"/>
</file>

<file path=customXml/itemProps2.xml><?xml version="1.0" encoding="utf-8"?>
<ds:datastoreItem xmlns:ds="http://schemas.openxmlformats.org/officeDocument/2006/customXml" ds:itemID="{3C4B532E-798E-4EBC-B6C8-17BA1A93B51F}"/>
</file>

<file path=customXml/itemProps3.xml><?xml version="1.0" encoding="utf-8"?>
<ds:datastoreItem xmlns:ds="http://schemas.openxmlformats.org/officeDocument/2006/customXml" ds:itemID="{57B291CA-6109-4822-A93C-48361282DB34}"/>
</file>

<file path=customXml/itemProps4.xml><?xml version="1.0" encoding="utf-8"?>
<ds:datastoreItem xmlns:ds="http://schemas.openxmlformats.org/officeDocument/2006/customXml" ds:itemID="{91F71288-96B0-47EE-9803-1B0C7CE17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2876</Words>
  <Characters>17679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 eHealth Dept</Company>
  <LinksUpToDate>false</LinksUpToDate>
  <CharactersWithSpaces>20514</CharactersWithSpaces>
  <SharedDoc>false</SharedDoc>
  <HLinks>
    <vt:vector size="168" baseType="variant"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_Toc445798757</vt:lpwstr>
      </vt:variant>
      <vt:variant>
        <vt:i4>1638463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_Toc445798756</vt:lpwstr>
      </vt:variant>
      <vt:variant>
        <vt:i4>1638463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_Toc445798755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_Toc445798754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_Toc445798753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_Toc445798752</vt:lpwstr>
      </vt:variant>
      <vt:variant>
        <vt:i4>1638463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_Toc445798751</vt:lpwstr>
      </vt:variant>
      <vt:variant>
        <vt:i4>1638463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_Toc445798750</vt:lpwstr>
      </vt:variant>
      <vt:variant>
        <vt:i4>1572927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_Toc445798749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_Toc445798748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_Toc445798747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_Toc445798746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_Toc445798745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_Toc445798744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_Toc445798743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_Toc445798742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_Toc445798741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_Toc445798740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_Toc445798739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_Toc445798738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_Toc445798737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_Toc445798736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_Toc445798735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_Toc445798734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_Toc445798733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_Toc445798732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_Toc445798731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_Toc445798730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Piccolo Xpress Chemistry Analyser SOP</dc:title>
  <dc:creator>Bruce.Harris</dc:creator>
  <cp:lastModifiedBy>Nathan McPherson</cp:lastModifiedBy>
  <cp:revision>2</cp:revision>
  <dcterms:created xsi:type="dcterms:W3CDTF">2018-04-12T12:15:00Z</dcterms:created>
  <dcterms:modified xsi:type="dcterms:W3CDTF">2018-04-12T12:15:00Z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0x010100463E2F81DEB3AA4D9CAC9DB53E895380</vt:lpwstr>
  </property>
</Properties>
</file>